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58247" w14:textId="58213370" w:rsidR="00476378" w:rsidRPr="005959D5" w:rsidRDefault="00476378" w:rsidP="00476378">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162327" w:rsidRPr="00162327">
        <w:rPr>
          <w:rFonts w:ascii="Arial" w:eastAsia="SimSun" w:hAnsi="Arial"/>
          <w:b/>
          <w:bCs/>
          <w:sz w:val="24"/>
          <w:szCs w:val="24"/>
          <w:lang w:eastAsia="ja-JP"/>
        </w:rPr>
        <w:t>R4-2514349</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w:t>
      </w:r>
      <w:proofErr w:type="gramStart"/>
      <w:r w:rsidRPr="005959D5">
        <w:rPr>
          <w:rFonts w:ascii="Arial" w:eastAsia="Batang" w:hAnsi="Arial" w:cs="Arial"/>
          <w:b/>
          <w:color w:val="000000"/>
          <w:sz w:val="24"/>
          <w:szCs w:val="24"/>
          <w:lang w:eastAsia="ja-JP"/>
        </w:rPr>
        <w:t>October,</w:t>
      </w:r>
      <w:proofErr w:type="gramEnd"/>
      <w:r w:rsidRPr="005959D5">
        <w:rPr>
          <w:rFonts w:ascii="Arial" w:eastAsia="Batang" w:hAnsi="Arial" w:cs="Arial"/>
          <w:b/>
          <w:color w:val="000000"/>
          <w:sz w:val="24"/>
          <w:szCs w:val="24"/>
          <w:lang w:eastAsia="ja-JP"/>
        </w:rPr>
        <w:t xml:space="preserve"> 2025</w:t>
      </w:r>
    </w:p>
    <w:p w14:paraId="72FFFB62" w14:textId="77777777" w:rsidR="00841BCD" w:rsidRPr="0047637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15BC8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351C8E" w14:textId="324E4B7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1018B">
        <w:rPr>
          <w:rFonts w:ascii="Arial" w:eastAsia="Calibri" w:hAnsi="Arial" w:cs="Arial"/>
          <w:b/>
          <w:bCs/>
          <w:sz w:val="24"/>
        </w:rPr>
        <w:t>On introducing HD-FDD on the Ku Band</w:t>
      </w:r>
    </w:p>
    <w:p w14:paraId="25952065" w14:textId="45567009" w:rsidR="00841BCD" w:rsidRPr="0021018B" w:rsidRDefault="00841BCD" w:rsidP="00841BCD">
      <w:pPr>
        <w:tabs>
          <w:tab w:val="left" w:pos="1985"/>
        </w:tabs>
        <w:spacing w:after="120" w:line="240" w:lineRule="auto"/>
        <w:rPr>
          <w:rFonts w:ascii="Arial" w:eastAsia="MS Mincho" w:hAnsi="Arial" w:cs="Arial"/>
          <w:b/>
          <w:bCs/>
          <w:sz w:val="24"/>
          <w:szCs w:val="20"/>
          <w:lang w:val="en-US"/>
        </w:rPr>
      </w:pPr>
      <w:r w:rsidRPr="0021018B">
        <w:rPr>
          <w:rFonts w:ascii="Arial" w:eastAsia="MS Mincho" w:hAnsi="Arial" w:cs="Arial"/>
          <w:b/>
          <w:bCs/>
          <w:sz w:val="24"/>
          <w:szCs w:val="20"/>
          <w:lang w:val="en-US"/>
        </w:rPr>
        <w:t>Agenda item:</w:t>
      </w:r>
      <w:r w:rsidRPr="0021018B">
        <w:rPr>
          <w:rFonts w:ascii="Arial" w:eastAsia="MS Mincho" w:hAnsi="Arial" w:cs="Arial"/>
          <w:b/>
          <w:bCs/>
          <w:sz w:val="24"/>
          <w:szCs w:val="20"/>
          <w:lang w:val="en-US"/>
        </w:rPr>
        <w:tab/>
      </w:r>
      <w:r w:rsidR="00ED01C8" w:rsidRPr="0021018B">
        <w:rPr>
          <w:rFonts w:ascii="Arial" w:eastAsia="MS Mincho" w:hAnsi="Arial" w:cs="Arial"/>
          <w:b/>
          <w:bCs/>
          <w:sz w:val="24"/>
          <w:szCs w:val="20"/>
          <w:lang w:val="en-US"/>
        </w:rPr>
        <w:t>7.</w:t>
      </w:r>
      <w:r w:rsidR="0027724B" w:rsidRPr="0021018B">
        <w:rPr>
          <w:rFonts w:ascii="Arial" w:eastAsia="MS Mincho" w:hAnsi="Arial" w:cs="Arial"/>
          <w:b/>
          <w:bCs/>
          <w:sz w:val="24"/>
          <w:szCs w:val="20"/>
          <w:lang w:val="en-US"/>
        </w:rPr>
        <w:t>6.4.2</w:t>
      </w:r>
    </w:p>
    <w:p w14:paraId="65088DFE" w14:textId="77777777" w:rsidR="00E323E9" w:rsidRPr="0021018B" w:rsidRDefault="00841BCD" w:rsidP="00841BCD">
      <w:pPr>
        <w:tabs>
          <w:tab w:val="left" w:pos="1985"/>
        </w:tabs>
        <w:rPr>
          <w:rFonts w:ascii="Arial" w:eastAsia="Calibri" w:hAnsi="Arial" w:cs="Arial"/>
          <w:b/>
          <w:bCs/>
          <w:sz w:val="24"/>
          <w:lang w:val="en-US"/>
        </w:rPr>
      </w:pPr>
      <w:r w:rsidRPr="0021018B">
        <w:rPr>
          <w:rFonts w:ascii="Arial" w:eastAsia="Calibri" w:hAnsi="Arial" w:cs="Arial"/>
          <w:b/>
          <w:bCs/>
          <w:sz w:val="24"/>
          <w:lang w:val="en-US"/>
        </w:rPr>
        <w:t>Document for:</w:t>
      </w:r>
      <w:r w:rsidRPr="0021018B">
        <w:rPr>
          <w:rFonts w:ascii="Arial" w:eastAsia="Calibri" w:hAnsi="Arial" w:cs="Arial"/>
          <w:b/>
          <w:bCs/>
          <w:sz w:val="24"/>
          <w:lang w:val="en-US"/>
        </w:rPr>
        <w:tab/>
      </w:r>
      <w:r w:rsidR="00AE6D09" w:rsidRPr="0021018B">
        <w:rPr>
          <w:rFonts w:ascii="Arial" w:eastAsia="Calibri" w:hAnsi="Arial" w:cs="Arial"/>
          <w:b/>
          <w:bCs/>
          <w:sz w:val="24"/>
          <w:lang w:val="en-US"/>
        </w:rPr>
        <w:t>Discussion</w:t>
      </w:r>
    </w:p>
    <w:p w14:paraId="143C382C"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7772F922" w14:textId="36682FF5" w:rsidR="00281B89" w:rsidRDefault="007A5589" w:rsidP="00281B89">
      <w:r>
        <w:t xml:space="preserve">In [1], RAN plenary has approved a new WI for NTN, </w:t>
      </w:r>
      <w:r w:rsidR="00281B89">
        <w:t>comprised with 3 main objectives:</w:t>
      </w:r>
    </w:p>
    <w:p w14:paraId="42E75E94" w14:textId="149EB022" w:rsidR="00281B89" w:rsidRDefault="00281B89" w:rsidP="00281B89">
      <w:pPr>
        <w:pStyle w:val="ListParagraph"/>
        <w:numPr>
          <w:ilvl w:val="0"/>
          <w:numId w:val="38"/>
        </w:numPr>
      </w:pPr>
      <w:r>
        <w:t>HP-UE in NTN</w:t>
      </w:r>
    </w:p>
    <w:p w14:paraId="6835B754" w14:textId="0A2AECD2" w:rsidR="00281B89" w:rsidRDefault="00281B89" w:rsidP="00281B89">
      <w:pPr>
        <w:pStyle w:val="ListParagraph"/>
        <w:numPr>
          <w:ilvl w:val="0"/>
          <w:numId w:val="38"/>
        </w:numPr>
        <w:rPr>
          <w:lang w:val="en-US"/>
        </w:rPr>
      </w:pPr>
      <w:r w:rsidRPr="00281B89">
        <w:rPr>
          <w:lang w:val="en-US"/>
        </w:rPr>
        <w:t>HD-FDD for Ku band opera</w:t>
      </w:r>
      <w:r>
        <w:rPr>
          <w:lang w:val="en-US"/>
        </w:rPr>
        <w:t>tion (both in FR1 and FR2 numerology)</w:t>
      </w:r>
    </w:p>
    <w:p w14:paraId="26C9310C" w14:textId="26BA71BC" w:rsidR="00281B89" w:rsidRPr="00281B89" w:rsidRDefault="00281B89" w:rsidP="00281B89">
      <w:pPr>
        <w:pStyle w:val="ListParagraph"/>
        <w:numPr>
          <w:ilvl w:val="0"/>
          <w:numId w:val="38"/>
        </w:numPr>
        <w:rPr>
          <w:lang w:val="en-US"/>
        </w:rPr>
      </w:pPr>
      <w:r>
        <w:rPr>
          <w:lang w:val="en-US"/>
        </w:rPr>
        <w:t>DL intra-band, intra-SAN CA for NTN</w:t>
      </w:r>
    </w:p>
    <w:p w14:paraId="64585B5E" w14:textId="645D88CB" w:rsidR="0060543D" w:rsidRPr="007A5589" w:rsidRDefault="00281B89" w:rsidP="005C23A4">
      <w:pPr>
        <w:rPr>
          <w:lang w:val="en-US"/>
        </w:rPr>
      </w:pPr>
      <w:r>
        <w:t xml:space="preserve">The different objectives were specified with different timelines for the completion of work. For the RRM part, the current work is focused on discussing potential impacts of the HD-FDD implementation in Ku band. In the current phase of work the focus will be in Ku band functioning with FR1 numerology. In this document, we will provide our initial views on the HD-FDD aspects implementation in Ku Band. </w:t>
      </w:r>
    </w:p>
    <w:p w14:paraId="2CB62175" w14:textId="77777777" w:rsidR="00B66B7D" w:rsidRPr="008F786B" w:rsidRDefault="003B659E" w:rsidP="00B66B7D">
      <w:pPr>
        <w:pStyle w:val="RAN4H1"/>
      </w:pPr>
      <w:bookmarkStart w:id="1" w:name="_Toc116995842"/>
      <w:r w:rsidRPr="008F786B">
        <w:t>Discussion</w:t>
      </w:r>
      <w:bookmarkEnd w:id="1"/>
    </w:p>
    <w:p w14:paraId="1F6D209C" w14:textId="1F0F69D6" w:rsidR="00CE3037" w:rsidRDefault="00281B89" w:rsidP="00640B91">
      <w:pPr>
        <w:rPr>
          <w:lang w:val="en-US"/>
        </w:rPr>
      </w:pPr>
      <w:r>
        <w:t xml:space="preserve">For the most part, HD-FDD impact on RAN4 requirements is dependent on implementation and design </w:t>
      </w:r>
      <w:r w:rsidR="00997736">
        <w:rPr>
          <w:lang w:val="en-US"/>
        </w:rPr>
        <w:t xml:space="preserve">of RAN1. The reason is that there must be rules for handling collisions of UL transmissions and DL reception at the UE when there is an overlap of occasions. </w:t>
      </w:r>
    </w:p>
    <w:p w14:paraId="0C325AF0" w14:textId="15084D95" w:rsidR="00997736" w:rsidRPr="00997736" w:rsidRDefault="00997736" w:rsidP="00640B91">
      <w:pPr>
        <w:rPr>
          <w:lang w:val="en-US"/>
        </w:rPr>
      </w:pPr>
      <w:r>
        <w:rPr>
          <w:lang w:val="en-US"/>
        </w:rPr>
        <w:t xml:space="preserve">However, the work item description indicates that RAN4 shall focus on the work previously done for </w:t>
      </w:r>
      <w:proofErr w:type="spellStart"/>
      <w:r>
        <w:rPr>
          <w:lang w:val="en-US"/>
        </w:rPr>
        <w:t>RedCap</w:t>
      </w:r>
      <w:proofErr w:type="spellEnd"/>
      <w:r>
        <w:rPr>
          <w:lang w:val="en-US"/>
        </w:rPr>
        <w:t>, and try as much as possible leverage on such design</w:t>
      </w:r>
      <w:r w:rsidRPr="00997736">
        <w:rPr>
          <w:lang w:val="en-US"/>
        </w:rPr>
        <w:t>:</w:t>
      </w:r>
    </w:p>
    <w:tbl>
      <w:tblPr>
        <w:tblStyle w:val="TableGrid"/>
        <w:tblW w:w="0" w:type="auto"/>
        <w:tblLook w:val="04A0" w:firstRow="1" w:lastRow="0" w:firstColumn="1" w:lastColumn="0" w:noHBand="0" w:noVBand="1"/>
      </w:tblPr>
      <w:tblGrid>
        <w:gridCol w:w="9617"/>
      </w:tblGrid>
      <w:tr w:rsidR="00895AFB" w14:paraId="244C67CA" w14:textId="77777777">
        <w:tc>
          <w:tcPr>
            <w:tcW w:w="9617" w:type="dxa"/>
          </w:tcPr>
          <w:p w14:paraId="0A171CC9" w14:textId="77777777" w:rsidR="00997736" w:rsidRPr="00997736" w:rsidRDefault="00997736" w:rsidP="00997736">
            <w:pPr>
              <w:spacing w:line="276" w:lineRule="auto"/>
              <w:rPr>
                <w:rFonts w:ascii="Aptos" w:eastAsia="DengXian" w:hAnsi="Aptos" w:cs="Times New Roman"/>
                <w:kern w:val="2"/>
                <w:szCs w:val="20"/>
                <w:u w:val="single"/>
                <w:lang w:val="en-US" w:eastAsia="zh-CN"/>
                <w14:ligatures w14:val="standardContextual"/>
              </w:rPr>
            </w:pPr>
            <w:r w:rsidRPr="00997736">
              <w:rPr>
                <w:rFonts w:ascii="Aptos" w:eastAsia="DengXian" w:hAnsi="Aptos" w:cs="Times New Roman"/>
                <w:kern w:val="2"/>
                <w:szCs w:val="20"/>
                <w:u w:val="single"/>
                <w:lang w:val="en-US" w:eastAsia="zh-CN"/>
                <w14:ligatures w14:val="standardContextual"/>
              </w:rPr>
              <w:t>HD-FDD for NTN Core Part</w:t>
            </w:r>
          </w:p>
          <w:p w14:paraId="33B7FEF2" w14:textId="77777777" w:rsidR="00997736" w:rsidRPr="00997736" w:rsidRDefault="00997736" w:rsidP="00997736">
            <w:pPr>
              <w:numPr>
                <w:ilvl w:val="0"/>
                <w:numId w:val="39"/>
              </w:numPr>
              <w:spacing w:line="276" w:lineRule="auto"/>
              <w:ind w:left="810" w:hanging="450"/>
              <w:contextualSpacing/>
              <w:rPr>
                <w:rFonts w:ascii="Aptos" w:eastAsia="DengXian" w:hAnsi="Aptos" w:cs="Times New Roman"/>
                <w:kern w:val="2"/>
                <w:szCs w:val="20"/>
                <w:lang w:val="en-US"/>
                <w14:ligatures w14:val="standardContextual"/>
              </w:rPr>
            </w:pPr>
            <w:r w:rsidRPr="00997736">
              <w:rPr>
                <w:rFonts w:ascii="Aptos" w:eastAsia="DengXian" w:hAnsi="Aptos" w:cs="Times New Roman"/>
                <w:kern w:val="2"/>
                <w:szCs w:val="20"/>
                <w:lang w:val="en-US"/>
                <w14:ligatures w14:val="standardContextual"/>
              </w:rPr>
              <w:t>Specify RF and RRM requirements to support HD-FDD VSATs in both Ka and Ku bands with FR1 and FR2 numerologies</w:t>
            </w:r>
          </w:p>
          <w:p w14:paraId="34BC5F09" w14:textId="77777777" w:rsidR="00997736" w:rsidRPr="00997736" w:rsidRDefault="00997736" w:rsidP="00997736">
            <w:pPr>
              <w:numPr>
                <w:ilvl w:val="0"/>
                <w:numId w:val="40"/>
              </w:numPr>
              <w:spacing w:line="276" w:lineRule="auto"/>
              <w:contextualSpacing/>
              <w:rPr>
                <w:rFonts w:ascii="Aptos" w:eastAsia="DengXian" w:hAnsi="Aptos" w:cs="Times New Roman"/>
                <w:kern w:val="2"/>
                <w:szCs w:val="20"/>
                <w:lang w:val="en-US"/>
                <w14:ligatures w14:val="standardContextual"/>
              </w:rPr>
            </w:pPr>
            <w:r w:rsidRPr="00997736">
              <w:rPr>
                <w:rFonts w:ascii="Aptos" w:eastAsia="DengXian" w:hAnsi="Aptos" w:cs="Times New Roman"/>
                <w:kern w:val="2"/>
                <w:szCs w:val="20"/>
                <w:lang w:val="en-US"/>
                <w14:ligatures w14:val="standardContextual"/>
              </w:rPr>
              <w:t>Phase 1: Ku</w:t>
            </w:r>
            <w:r w:rsidRPr="00997736">
              <w:rPr>
                <w:rFonts w:ascii="Aptos" w:eastAsia="Malgun Gothic" w:hAnsi="Aptos" w:cs="Times New Roman"/>
                <w:kern w:val="2"/>
                <w:szCs w:val="20"/>
                <w:lang w:val="en-US" w:eastAsia="ko-KR"/>
                <w14:ligatures w14:val="standardContextual"/>
              </w:rPr>
              <w:t xml:space="preserve"> band with </w:t>
            </w:r>
            <w:r w:rsidRPr="00997736">
              <w:rPr>
                <w:rFonts w:ascii="Aptos" w:eastAsia="DengXian" w:hAnsi="Aptos" w:cs="Times New Roman"/>
                <w:kern w:val="2"/>
                <w:szCs w:val="20"/>
                <w:lang w:val="en-US"/>
                <w14:ligatures w14:val="standardContextual"/>
              </w:rPr>
              <w:t>FR1 numerology</w:t>
            </w:r>
          </w:p>
          <w:p w14:paraId="39969CEF" w14:textId="77777777" w:rsidR="00997736" w:rsidRPr="00997736" w:rsidRDefault="00997736" w:rsidP="00997736">
            <w:pPr>
              <w:numPr>
                <w:ilvl w:val="1"/>
                <w:numId w:val="40"/>
              </w:numPr>
              <w:spacing w:line="276" w:lineRule="auto"/>
              <w:contextualSpacing/>
              <w:rPr>
                <w:rFonts w:ascii="Aptos" w:eastAsia="DengXian" w:hAnsi="Aptos" w:cs="Times New Roman"/>
                <w:bCs/>
                <w:kern w:val="2"/>
                <w:szCs w:val="20"/>
                <w:lang w:val="en-US"/>
                <w14:ligatures w14:val="standardContextual"/>
              </w:rPr>
            </w:pPr>
            <w:r w:rsidRPr="00997736">
              <w:rPr>
                <w:rFonts w:ascii="Aptos" w:eastAsia="DengXian" w:hAnsi="Aptos" w:cs="Times New Roman"/>
                <w:bCs/>
                <w:kern w:val="2"/>
                <w:szCs w:val="20"/>
                <w:lang w:val="en-US"/>
                <w14:ligatures w14:val="standardContextual"/>
              </w:rPr>
              <w:t>Introduce a single set of requirements for HD-FDD for VSAT types 2, 3, 5, 6 with electronically steered antenna</w:t>
            </w:r>
          </w:p>
          <w:p w14:paraId="620F4D4C" w14:textId="77777777" w:rsidR="00997736" w:rsidRPr="00997736" w:rsidRDefault="00997736" w:rsidP="00997736">
            <w:pPr>
              <w:numPr>
                <w:ilvl w:val="1"/>
                <w:numId w:val="40"/>
              </w:numPr>
              <w:spacing w:line="276" w:lineRule="auto"/>
              <w:contextualSpacing/>
              <w:rPr>
                <w:rFonts w:ascii="Aptos" w:eastAsia="DengXian" w:hAnsi="Aptos" w:cs="Times New Roman"/>
                <w:bCs/>
                <w:kern w:val="2"/>
                <w:szCs w:val="20"/>
                <w:lang w:val="en-US"/>
                <w14:ligatures w14:val="standardContextual"/>
              </w:rPr>
            </w:pPr>
            <w:proofErr w:type="gramStart"/>
            <w:r w:rsidRPr="00997736">
              <w:rPr>
                <w:rFonts w:ascii="Aptos" w:eastAsia="DengXian" w:hAnsi="Aptos" w:cs="Times New Roman"/>
                <w:bCs/>
                <w:kern w:val="2"/>
                <w:szCs w:val="20"/>
                <w:lang w:val="en-US"/>
                <w14:ligatures w14:val="standardContextual"/>
              </w:rPr>
              <w:t>Introduce</w:t>
            </w:r>
            <w:proofErr w:type="gramEnd"/>
            <w:r w:rsidRPr="00997736">
              <w:rPr>
                <w:rFonts w:ascii="Aptos" w:eastAsia="DengXian" w:hAnsi="Aptos" w:cs="Times New Roman"/>
                <w:bCs/>
                <w:kern w:val="2"/>
                <w:szCs w:val="20"/>
                <w:lang w:val="en-US"/>
                <w14:ligatures w14:val="standardContextual"/>
              </w:rPr>
              <w:t xml:space="preserve"> requirements for HD-FDD </w:t>
            </w:r>
            <w:r w:rsidRPr="00997736">
              <w:rPr>
                <w:rFonts w:ascii="Aptos" w:eastAsia="Malgun Gothic" w:hAnsi="Aptos" w:cs="Times New Roman"/>
                <w:bCs/>
                <w:kern w:val="2"/>
                <w:szCs w:val="20"/>
                <w:lang w:val="en-US" w:eastAsia="ko-KR"/>
                <w14:ligatures w14:val="standardContextual"/>
              </w:rPr>
              <w:t xml:space="preserve">Mobile </w:t>
            </w:r>
            <w:r w:rsidRPr="00997736">
              <w:rPr>
                <w:rFonts w:ascii="Aptos" w:eastAsia="DengXian" w:hAnsi="Aptos" w:cs="Times New Roman"/>
                <w:bCs/>
                <w:kern w:val="2"/>
                <w:szCs w:val="20"/>
                <w:lang w:val="en-US"/>
                <w14:ligatures w14:val="standardContextual"/>
              </w:rPr>
              <w:t>VSAT with small antennas (e.g., 20x20cm) with a new VSAT type</w:t>
            </w:r>
          </w:p>
          <w:p w14:paraId="0015399A" w14:textId="77777777" w:rsidR="00997736" w:rsidRPr="00997736" w:rsidRDefault="00997736" w:rsidP="00997736">
            <w:pPr>
              <w:numPr>
                <w:ilvl w:val="0"/>
                <w:numId w:val="40"/>
              </w:numPr>
              <w:spacing w:line="276" w:lineRule="auto"/>
              <w:contextualSpacing/>
              <w:rPr>
                <w:rFonts w:ascii="Aptos" w:eastAsia="DengXian" w:hAnsi="Aptos" w:cs="Times New Roman"/>
                <w:kern w:val="2"/>
                <w:szCs w:val="20"/>
                <w:lang w:val="en-US"/>
                <w14:ligatures w14:val="standardContextual"/>
              </w:rPr>
            </w:pPr>
            <w:r w:rsidRPr="00997736">
              <w:rPr>
                <w:rFonts w:ascii="Aptos" w:eastAsia="DengXian" w:hAnsi="Aptos" w:cs="Times New Roman"/>
                <w:kern w:val="2"/>
                <w:szCs w:val="20"/>
                <w:lang w:val="en-US"/>
                <w14:ligatures w14:val="standardContextual"/>
              </w:rPr>
              <w:t>Phase 2</w:t>
            </w:r>
            <w:proofErr w:type="gramStart"/>
            <w:r w:rsidRPr="00997736">
              <w:rPr>
                <w:rFonts w:ascii="Aptos" w:eastAsia="DengXian" w:hAnsi="Aptos" w:cs="Times New Roman"/>
                <w:kern w:val="2"/>
                <w:szCs w:val="20"/>
                <w:lang w:val="en-US"/>
                <w14:ligatures w14:val="standardContextual"/>
              </w:rPr>
              <w:t>:  Ku</w:t>
            </w:r>
            <w:proofErr w:type="gramEnd"/>
            <w:r w:rsidRPr="00997736">
              <w:rPr>
                <w:rFonts w:ascii="Aptos" w:eastAsia="DengXian" w:hAnsi="Aptos" w:cs="Times New Roman"/>
                <w:kern w:val="2"/>
                <w:szCs w:val="20"/>
                <w:lang w:val="en-US"/>
                <w14:ligatures w14:val="standardContextual"/>
              </w:rPr>
              <w:t xml:space="preserve"> band and Ka band with FR2 numerology </w:t>
            </w:r>
          </w:p>
          <w:p w14:paraId="494F6604" w14:textId="77777777" w:rsidR="00997736" w:rsidRPr="00997736" w:rsidRDefault="00997736" w:rsidP="00997736">
            <w:pPr>
              <w:numPr>
                <w:ilvl w:val="1"/>
                <w:numId w:val="40"/>
              </w:numPr>
              <w:spacing w:line="276" w:lineRule="auto"/>
              <w:contextualSpacing/>
              <w:rPr>
                <w:rFonts w:ascii="Aptos" w:eastAsia="DengXian" w:hAnsi="Aptos" w:cs="Times New Roman"/>
                <w:bCs/>
                <w:kern w:val="2"/>
                <w:szCs w:val="20"/>
                <w:lang w:val="en-US"/>
                <w14:ligatures w14:val="standardContextual"/>
              </w:rPr>
            </w:pPr>
            <w:r w:rsidRPr="00997736">
              <w:rPr>
                <w:rFonts w:ascii="Aptos" w:eastAsia="DengXian" w:hAnsi="Aptos" w:cs="Times New Roman"/>
                <w:bCs/>
                <w:kern w:val="2"/>
                <w:szCs w:val="20"/>
                <w:lang w:val="en-US"/>
                <w14:ligatures w14:val="standardContextual"/>
              </w:rPr>
              <w:t>Introduce a single set of requirements for HD-FDD for VSAT types 2, 3, 5, 6 with electronically steered antenna</w:t>
            </w:r>
          </w:p>
          <w:p w14:paraId="06099394" w14:textId="77777777" w:rsidR="00997736" w:rsidRPr="00997736" w:rsidRDefault="00997736" w:rsidP="00997736">
            <w:pPr>
              <w:numPr>
                <w:ilvl w:val="1"/>
                <w:numId w:val="40"/>
              </w:numPr>
              <w:spacing w:line="276" w:lineRule="auto"/>
              <w:contextualSpacing/>
              <w:rPr>
                <w:rFonts w:ascii="Aptos" w:eastAsia="DengXian" w:hAnsi="Aptos" w:cs="Times New Roman"/>
                <w:bCs/>
                <w:kern w:val="2"/>
                <w:szCs w:val="20"/>
                <w:lang w:val="en-US"/>
                <w14:ligatures w14:val="standardContextual"/>
              </w:rPr>
            </w:pPr>
            <w:proofErr w:type="gramStart"/>
            <w:r w:rsidRPr="00997736">
              <w:rPr>
                <w:rFonts w:ascii="Aptos" w:eastAsia="DengXian" w:hAnsi="Aptos" w:cs="Times New Roman"/>
                <w:bCs/>
                <w:kern w:val="2"/>
                <w:szCs w:val="20"/>
                <w:lang w:val="en-US"/>
                <w14:ligatures w14:val="standardContextual"/>
              </w:rPr>
              <w:t>Introduce</w:t>
            </w:r>
            <w:proofErr w:type="gramEnd"/>
            <w:r w:rsidRPr="00997736">
              <w:rPr>
                <w:rFonts w:ascii="Aptos" w:eastAsia="DengXian" w:hAnsi="Aptos" w:cs="Times New Roman"/>
                <w:bCs/>
                <w:kern w:val="2"/>
                <w:szCs w:val="20"/>
                <w:lang w:val="en-US"/>
                <w14:ligatures w14:val="standardContextual"/>
              </w:rPr>
              <w:t xml:space="preserve"> requirements for HD-FDD </w:t>
            </w:r>
            <w:r w:rsidRPr="00997736">
              <w:rPr>
                <w:rFonts w:ascii="Aptos" w:eastAsia="Malgun Gothic" w:hAnsi="Aptos" w:cs="Times New Roman"/>
                <w:bCs/>
                <w:kern w:val="2"/>
                <w:szCs w:val="20"/>
                <w:lang w:val="en-US" w:eastAsia="ko-KR"/>
                <w14:ligatures w14:val="standardContextual"/>
              </w:rPr>
              <w:t xml:space="preserve">Mobile </w:t>
            </w:r>
            <w:r w:rsidRPr="00997736">
              <w:rPr>
                <w:rFonts w:ascii="Aptos" w:eastAsia="DengXian" w:hAnsi="Aptos" w:cs="Times New Roman"/>
                <w:bCs/>
                <w:kern w:val="2"/>
                <w:szCs w:val="20"/>
                <w:lang w:val="en-US"/>
                <w14:ligatures w14:val="standardContextual"/>
              </w:rPr>
              <w:t>VSAT with small antennas (e.g., 20x20cm) with a new VSAT type</w:t>
            </w:r>
          </w:p>
          <w:p w14:paraId="386F5A00" w14:textId="77777777" w:rsidR="00997736" w:rsidRPr="00997736" w:rsidRDefault="00997736" w:rsidP="00997736">
            <w:pPr>
              <w:numPr>
                <w:ilvl w:val="0"/>
                <w:numId w:val="40"/>
              </w:numPr>
              <w:spacing w:line="276" w:lineRule="auto"/>
              <w:contextualSpacing/>
              <w:rPr>
                <w:rFonts w:ascii="Aptos" w:eastAsia="DengXian" w:hAnsi="Aptos" w:cs="Times New Roman"/>
                <w:kern w:val="2"/>
                <w:szCs w:val="20"/>
                <w:lang w:val="en-US"/>
                <w14:ligatures w14:val="standardContextual"/>
              </w:rPr>
            </w:pPr>
            <w:r w:rsidRPr="00997736">
              <w:rPr>
                <w:rFonts w:ascii="Aptos" w:eastAsia="DengXian" w:hAnsi="Aptos" w:cs="Times New Roman"/>
                <w:kern w:val="2"/>
                <w:szCs w:val="20"/>
                <w:lang w:val="en-US"/>
                <w14:ligatures w14:val="standardContextual"/>
              </w:rPr>
              <w:t>Phase 1 work will commence immediately.  Phase 2 work will commence upon completion of Phase 1 and RAN1/RAN2 availability</w:t>
            </w:r>
          </w:p>
          <w:p w14:paraId="22DC858C" w14:textId="77777777" w:rsidR="00997736" w:rsidRPr="00997736" w:rsidRDefault="00997736" w:rsidP="00997736">
            <w:pPr>
              <w:numPr>
                <w:ilvl w:val="0"/>
                <w:numId w:val="41"/>
              </w:numPr>
              <w:spacing w:line="276" w:lineRule="auto"/>
              <w:contextualSpacing/>
              <w:rPr>
                <w:rFonts w:ascii="Aptos" w:eastAsia="DengXian" w:hAnsi="Aptos" w:cs="Times New Roman"/>
                <w:kern w:val="2"/>
                <w:szCs w:val="20"/>
                <w:highlight w:val="green"/>
                <w:lang w:val="en-US"/>
                <w14:ligatures w14:val="standardContextual"/>
              </w:rPr>
            </w:pPr>
            <w:proofErr w:type="gramStart"/>
            <w:r w:rsidRPr="00997736">
              <w:rPr>
                <w:rFonts w:ascii="Aptos" w:eastAsia="DengXian" w:hAnsi="Aptos" w:cs="Times New Roman"/>
                <w:bCs/>
                <w:kern w:val="2"/>
                <w:szCs w:val="20"/>
                <w:highlight w:val="green"/>
                <w:lang w:val="en-US"/>
                <w14:ligatures w14:val="standardContextual"/>
              </w:rPr>
              <w:t>Note :Leverage</w:t>
            </w:r>
            <w:proofErr w:type="gramEnd"/>
            <w:r w:rsidRPr="00997736">
              <w:rPr>
                <w:rFonts w:ascii="Aptos" w:eastAsia="DengXian" w:hAnsi="Aptos" w:cs="Times New Roman"/>
                <w:bCs/>
                <w:kern w:val="2"/>
                <w:szCs w:val="20"/>
                <w:highlight w:val="green"/>
                <w:lang w:val="en-US"/>
                <w14:ligatures w14:val="standardContextual"/>
              </w:rPr>
              <w:t xml:space="preserve"> </w:t>
            </w:r>
            <w:proofErr w:type="spellStart"/>
            <w:r w:rsidRPr="00997736">
              <w:rPr>
                <w:rFonts w:ascii="Aptos" w:eastAsia="DengXian" w:hAnsi="Aptos" w:cs="Times New Roman"/>
                <w:bCs/>
                <w:kern w:val="2"/>
                <w:szCs w:val="20"/>
                <w:highlight w:val="green"/>
                <w:lang w:val="en-US"/>
                <w14:ligatures w14:val="standardContextual"/>
              </w:rPr>
              <w:t>RedCap</w:t>
            </w:r>
            <w:proofErr w:type="spellEnd"/>
            <w:r w:rsidRPr="00997736">
              <w:rPr>
                <w:rFonts w:ascii="Aptos" w:eastAsia="DengXian" w:hAnsi="Aptos" w:cs="Times New Roman"/>
                <w:bCs/>
                <w:kern w:val="2"/>
                <w:szCs w:val="20"/>
                <w:highlight w:val="green"/>
                <w:lang w:val="en-US"/>
                <w14:ligatures w14:val="standardContextual"/>
              </w:rPr>
              <w:t xml:space="preserve"> NTN HD-FDD solution to NTN HD-FDD VSAT as applicable.</w:t>
            </w:r>
          </w:p>
          <w:p w14:paraId="0D62E267" w14:textId="77777777" w:rsidR="00895AFB" w:rsidRPr="00895AFB" w:rsidRDefault="00895AFB" w:rsidP="00895AFB">
            <w:r w:rsidRPr="00895AFB">
              <w:rPr>
                <w:i/>
              </w:rPr>
              <w:t> </w:t>
            </w:r>
            <w:r w:rsidRPr="00895AFB">
              <w:t> </w:t>
            </w:r>
          </w:p>
          <w:p w14:paraId="217F1B70" w14:textId="77777777" w:rsidR="00895AFB" w:rsidRDefault="00895AFB" w:rsidP="00B66B7D">
            <w:pPr>
              <w:rPr>
                <w:lang w:val="en-US"/>
              </w:rPr>
            </w:pPr>
          </w:p>
        </w:tc>
      </w:tr>
    </w:tbl>
    <w:p w14:paraId="13F08EE3" w14:textId="77777777" w:rsidR="00895AFB" w:rsidRDefault="00895AFB" w:rsidP="00B66B7D">
      <w:pPr>
        <w:rPr>
          <w:lang w:val="en-US"/>
        </w:rPr>
      </w:pPr>
    </w:p>
    <w:p w14:paraId="25E1A4EB" w14:textId="3666DB95" w:rsidR="00997736" w:rsidRDefault="00997736" w:rsidP="00B66B7D">
      <w:pPr>
        <w:rPr>
          <w:lang w:val="en-US"/>
        </w:rPr>
      </w:pPr>
      <w:r>
        <w:rPr>
          <w:lang w:val="en-US"/>
        </w:rPr>
        <w:lastRenderedPageBreak/>
        <w:t xml:space="preserve">For a UE in connected mode, the UL and DL collisions are more difficult to predict in NTN due to the large propagation delays and </w:t>
      </w:r>
      <w:proofErr w:type="gramStart"/>
      <w:r>
        <w:rPr>
          <w:lang w:val="en-US"/>
        </w:rPr>
        <w:t>specially</w:t>
      </w:r>
      <w:proofErr w:type="gramEnd"/>
      <w:r>
        <w:rPr>
          <w:lang w:val="en-US"/>
        </w:rPr>
        <w:t xml:space="preserve"> the propagation delay difference between two UEs in the same cell, this leads to several potential collisions, as previously identified by RAN1:</w:t>
      </w:r>
    </w:p>
    <w:tbl>
      <w:tblPr>
        <w:tblStyle w:val="TableGrid"/>
        <w:tblW w:w="0" w:type="auto"/>
        <w:tblLook w:val="04A0" w:firstRow="1" w:lastRow="0" w:firstColumn="1" w:lastColumn="0" w:noHBand="0" w:noVBand="1"/>
      </w:tblPr>
      <w:tblGrid>
        <w:gridCol w:w="9617"/>
      </w:tblGrid>
      <w:tr w:rsidR="00997736" w14:paraId="52D631DB" w14:textId="77777777" w:rsidTr="00997736">
        <w:tc>
          <w:tcPr>
            <w:tcW w:w="9617" w:type="dxa"/>
          </w:tcPr>
          <w:p w14:paraId="78EE90AD" w14:textId="77777777" w:rsidR="00997736" w:rsidRPr="00997736" w:rsidRDefault="00997736" w:rsidP="00997736">
            <w:pPr>
              <w:numPr>
                <w:ilvl w:val="0"/>
                <w:numId w:val="42"/>
              </w:numPr>
            </w:pPr>
            <w:r w:rsidRPr="00997736">
              <w:t xml:space="preserve">Whether existing handling rules for the following cases should be reused or updated when </w:t>
            </w:r>
            <w:proofErr w:type="gramStart"/>
            <w:r w:rsidRPr="00997736">
              <w:t>taking into account</w:t>
            </w:r>
            <w:proofErr w:type="gramEnd"/>
            <w:r w:rsidRPr="00997736">
              <w:t xml:space="preserve"> TA mismatch between actual TA used by UE and assumed TA at the </w:t>
            </w:r>
            <w:proofErr w:type="spellStart"/>
            <w:r w:rsidRPr="00997736">
              <w:t>gNB</w:t>
            </w:r>
            <w:proofErr w:type="spellEnd"/>
            <w:r w:rsidRPr="00997736">
              <w:t xml:space="preserve"> based on available TA report: </w:t>
            </w:r>
          </w:p>
          <w:p w14:paraId="73313C39" w14:textId="77777777" w:rsidR="00997736" w:rsidRPr="00997736" w:rsidRDefault="00997736" w:rsidP="00997736">
            <w:pPr>
              <w:numPr>
                <w:ilvl w:val="1"/>
                <w:numId w:val="43"/>
              </w:numPr>
            </w:pPr>
            <w:r w:rsidRPr="00997736">
              <w:t>Case 1: Dynamically scheduled DL reception collides with semi-statically configured UL transmission</w:t>
            </w:r>
          </w:p>
          <w:p w14:paraId="42E04ED1" w14:textId="77777777" w:rsidR="00997736" w:rsidRPr="00997736" w:rsidRDefault="00997736" w:rsidP="00997736">
            <w:pPr>
              <w:numPr>
                <w:ilvl w:val="1"/>
                <w:numId w:val="43"/>
              </w:numPr>
            </w:pPr>
            <w:r w:rsidRPr="00997736">
              <w:t>Case 2: Semi-statically configured DL reception collides with dynamically scheduled UL transmission</w:t>
            </w:r>
          </w:p>
          <w:p w14:paraId="323C885C" w14:textId="77777777" w:rsidR="00997736" w:rsidRPr="00997736" w:rsidRDefault="00997736" w:rsidP="00997736">
            <w:pPr>
              <w:numPr>
                <w:ilvl w:val="1"/>
                <w:numId w:val="43"/>
              </w:numPr>
            </w:pPr>
            <w:r w:rsidRPr="00997736">
              <w:t xml:space="preserve">Case 3: Semi-statically configured DL reception collides with semi-statically configured UL transmission  </w:t>
            </w:r>
          </w:p>
          <w:p w14:paraId="5748027E" w14:textId="77777777" w:rsidR="00997736" w:rsidRPr="00997736" w:rsidRDefault="00997736" w:rsidP="00997736">
            <w:pPr>
              <w:numPr>
                <w:ilvl w:val="1"/>
                <w:numId w:val="43"/>
              </w:numPr>
            </w:pPr>
            <w:r w:rsidRPr="00997736">
              <w:t>Case 4: Dynamically scheduled DL reception collides with dynamic scheduled UL transmission</w:t>
            </w:r>
          </w:p>
          <w:p w14:paraId="00948A26" w14:textId="77777777" w:rsidR="00997736" w:rsidRPr="00997736" w:rsidRDefault="00997736" w:rsidP="00997736">
            <w:pPr>
              <w:numPr>
                <w:ilvl w:val="1"/>
                <w:numId w:val="43"/>
              </w:numPr>
            </w:pPr>
            <w:r w:rsidRPr="00997736">
              <w:t>Case 5: Configured SSB collides with dynamically scheduled or configured UL transmission</w:t>
            </w:r>
          </w:p>
          <w:p w14:paraId="5D847645" w14:textId="77777777" w:rsidR="00997736" w:rsidRPr="00997736" w:rsidRDefault="00997736" w:rsidP="00997736">
            <w:pPr>
              <w:numPr>
                <w:ilvl w:val="1"/>
                <w:numId w:val="43"/>
              </w:numPr>
            </w:pPr>
            <w:r w:rsidRPr="00997736">
              <w:t>Case 6: Dynamic or semi-static DL collides with valid RO</w:t>
            </w:r>
          </w:p>
          <w:p w14:paraId="3DBA2430" w14:textId="77777777" w:rsidR="00997736" w:rsidRPr="00997736" w:rsidRDefault="00997736" w:rsidP="00997736">
            <w:pPr>
              <w:numPr>
                <w:ilvl w:val="1"/>
                <w:numId w:val="43"/>
              </w:numPr>
            </w:pPr>
            <w:r w:rsidRPr="00997736">
              <w:t>Case 7: Collision due to direction switching</w:t>
            </w:r>
          </w:p>
          <w:p w14:paraId="41116180" w14:textId="77777777" w:rsidR="00997736" w:rsidRPr="00997736" w:rsidRDefault="00997736" w:rsidP="00B66B7D"/>
        </w:tc>
      </w:tr>
    </w:tbl>
    <w:p w14:paraId="2EF7C728" w14:textId="77777777" w:rsidR="00997736" w:rsidRDefault="00997736" w:rsidP="00B66B7D">
      <w:pPr>
        <w:rPr>
          <w:lang w:val="en-US"/>
        </w:rPr>
      </w:pPr>
    </w:p>
    <w:p w14:paraId="69DB8EAA" w14:textId="767E7007" w:rsidR="00997736" w:rsidRDefault="00997736" w:rsidP="00B66B7D">
      <w:pPr>
        <w:rPr>
          <w:lang w:val="en-US"/>
        </w:rPr>
      </w:pPr>
      <w:r>
        <w:rPr>
          <w:lang w:val="en-US"/>
        </w:rPr>
        <w:t>For cases 1,2, 5 and 6 RAN1 has decided during Rel-19 to leave those collisions to be handled by existing collision rules. Whereas RAN1 addressed cases 3 and 4:</w:t>
      </w:r>
    </w:p>
    <w:tbl>
      <w:tblPr>
        <w:tblStyle w:val="TableGrid"/>
        <w:tblW w:w="0" w:type="auto"/>
        <w:tblLook w:val="04A0" w:firstRow="1" w:lastRow="0" w:firstColumn="1" w:lastColumn="0" w:noHBand="0" w:noVBand="1"/>
      </w:tblPr>
      <w:tblGrid>
        <w:gridCol w:w="9617"/>
      </w:tblGrid>
      <w:tr w:rsidR="00997736" w14:paraId="17577952" w14:textId="77777777" w:rsidTr="00997736">
        <w:tc>
          <w:tcPr>
            <w:tcW w:w="9617" w:type="dxa"/>
          </w:tcPr>
          <w:p w14:paraId="58C0315A" w14:textId="77777777" w:rsidR="00997736" w:rsidRPr="00997736" w:rsidRDefault="00997736" w:rsidP="00997736">
            <w:pPr>
              <w:rPr>
                <w:lang w:val="en-US"/>
              </w:rPr>
            </w:pPr>
            <w:r w:rsidRPr="00997736">
              <w:rPr>
                <w:lang w:val="en-US"/>
              </w:rPr>
              <w:t>Agreement</w:t>
            </w:r>
          </w:p>
          <w:p w14:paraId="60322C4D" w14:textId="77777777" w:rsidR="00997736" w:rsidRPr="00997736" w:rsidRDefault="00997736" w:rsidP="00997736">
            <w:pPr>
              <w:rPr>
                <w:lang w:val="en-US"/>
              </w:rPr>
            </w:pPr>
            <w:r w:rsidRPr="00997736">
              <w:rPr>
                <w:lang w:val="en-US"/>
              </w:rPr>
              <w:t xml:space="preserve">When network indicates UL overriding DL in RRC-Connected mode </w:t>
            </w:r>
            <w:r w:rsidRPr="00997736">
              <w:rPr>
                <w:highlight w:val="green"/>
                <w:lang w:val="en-US"/>
              </w:rPr>
              <w:t>for collision case 3</w:t>
            </w:r>
            <w:r w:rsidRPr="00997736">
              <w:rPr>
                <w:lang w:val="en-US"/>
              </w:rPr>
              <w:t>, one UE-specific RRC parameter is used to indicate overriding for all the applicable other use cases except for collisions with Type-0/0A</w:t>
            </w:r>
            <w:proofErr w:type="gramStart"/>
            <w:r w:rsidRPr="00997736">
              <w:rPr>
                <w:lang w:val="en-US"/>
              </w:rPr>
              <w:t>/1</w:t>
            </w:r>
            <w:proofErr w:type="gramEnd"/>
            <w:r w:rsidRPr="00997736">
              <w:rPr>
                <w:lang w:val="en-US"/>
              </w:rPr>
              <w:t>/2-PDCCH CSS.</w:t>
            </w:r>
          </w:p>
          <w:p w14:paraId="7FDA614F" w14:textId="77777777" w:rsidR="00997736" w:rsidRPr="00997736" w:rsidRDefault="00997736" w:rsidP="00997736">
            <w:pPr>
              <w:rPr>
                <w:lang w:val="en-US"/>
              </w:rPr>
            </w:pPr>
          </w:p>
          <w:p w14:paraId="77D3FDA5" w14:textId="77777777" w:rsidR="00997736" w:rsidRPr="00997736" w:rsidRDefault="00997736" w:rsidP="00997736">
            <w:pPr>
              <w:rPr>
                <w:b/>
                <w:bCs/>
                <w:lang w:val="en-US"/>
              </w:rPr>
            </w:pPr>
            <w:r w:rsidRPr="00997736">
              <w:rPr>
                <w:b/>
                <w:bCs/>
                <w:lang w:val="en-US"/>
              </w:rPr>
              <w:t>Conclusion</w:t>
            </w:r>
          </w:p>
          <w:p w14:paraId="1AB69D27" w14:textId="77777777" w:rsidR="00997736" w:rsidRPr="00997736" w:rsidRDefault="00997736" w:rsidP="00997736">
            <w:pPr>
              <w:rPr>
                <w:bCs/>
                <w:lang w:val="en-US"/>
              </w:rPr>
            </w:pPr>
            <w:r w:rsidRPr="00997736">
              <w:rPr>
                <w:bCs/>
                <w:lang w:val="en-US"/>
              </w:rPr>
              <w:t xml:space="preserve">For Rel-19 HD-FDD (e)Redcap UE with CG-SDT procedure ongoing in RRC-inactive mode, for collision case 3, </w:t>
            </w:r>
          </w:p>
          <w:p w14:paraId="6AB79E88" w14:textId="77777777" w:rsidR="00997736" w:rsidRPr="00997736" w:rsidRDefault="00997736" w:rsidP="00997736">
            <w:pPr>
              <w:numPr>
                <w:ilvl w:val="0"/>
                <w:numId w:val="44"/>
              </w:numPr>
              <w:rPr>
                <w:lang w:val="en-US"/>
              </w:rPr>
            </w:pPr>
            <w:r w:rsidRPr="00997736">
              <w:rPr>
                <w:lang w:val="en-US"/>
              </w:rPr>
              <w:t>Handling of collision with PDCCH CSS in RRC-inactive mode is left to UE implementation whether to prioritize UL or prioritize DL with the constraint in the following note.</w:t>
            </w:r>
          </w:p>
          <w:p w14:paraId="2149BE8B" w14:textId="77777777" w:rsidR="00997736" w:rsidRPr="00997736" w:rsidRDefault="00997736" w:rsidP="00997736">
            <w:pPr>
              <w:rPr>
                <w:lang w:val="en-US"/>
              </w:rPr>
            </w:pPr>
            <w:r w:rsidRPr="00997736">
              <w:rPr>
                <w:lang w:val="en-US"/>
              </w:rPr>
              <w:t xml:space="preserve">Note: UE shall comply </w:t>
            </w:r>
            <w:proofErr w:type="gramStart"/>
            <w:r w:rsidRPr="00997736">
              <w:rPr>
                <w:lang w:val="en-US"/>
              </w:rPr>
              <w:t>to</w:t>
            </w:r>
            <w:proofErr w:type="gramEnd"/>
            <w:r w:rsidRPr="00997736">
              <w:rPr>
                <w:lang w:val="en-US"/>
              </w:rPr>
              <w:t xml:space="preserve"> the following existing procedure in 38.331:</w:t>
            </w:r>
          </w:p>
          <w:p w14:paraId="251FACFE" w14:textId="77777777" w:rsidR="00997736" w:rsidRPr="00997736" w:rsidRDefault="00997736" w:rsidP="00997736">
            <w:pPr>
              <w:numPr>
                <w:ilvl w:val="0"/>
                <w:numId w:val="44"/>
              </w:numPr>
              <w:rPr>
                <w:lang w:val="en-US"/>
              </w:rPr>
            </w:pPr>
            <w:r w:rsidRPr="00997736">
              <w:rPr>
                <w:lang w:val="en-US"/>
              </w:rPr>
              <w:t>UEs in RRC_INACTIVE while SDT procedure is not ongoing shall monitor for SI change indication in its own paging occasion(s) that the UE monitors as specified in TS 38.304 [20].</w:t>
            </w:r>
          </w:p>
          <w:p w14:paraId="4B3C6596" w14:textId="77777777" w:rsidR="00997736" w:rsidRPr="00997736" w:rsidRDefault="00997736" w:rsidP="00997736">
            <w:pPr>
              <w:numPr>
                <w:ilvl w:val="0"/>
                <w:numId w:val="44"/>
              </w:numPr>
              <w:rPr>
                <w:lang w:val="en-US"/>
              </w:rPr>
            </w:pPr>
            <w:r w:rsidRPr="00997736">
              <w:rPr>
                <w:lang w:val="en-US"/>
              </w:rPr>
              <w:t>UEs in RRC_INACTIVE while SDT procedure is ongoing shall monitor for SI change indication in any paging occasion at least once per modification period, if the initial downlink BWP on which the SDT procedure is ongoing is associated with a CD-SSB.</w:t>
            </w:r>
          </w:p>
          <w:p w14:paraId="6712191C" w14:textId="77777777" w:rsidR="00997736" w:rsidRPr="00997736" w:rsidRDefault="00997736" w:rsidP="00997736">
            <w:pPr>
              <w:numPr>
                <w:ilvl w:val="0"/>
                <w:numId w:val="44"/>
              </w:numPr>
              <w:rPr>
                <w:lang w:val="en-US"/>
              </w:rPr>
            </w:pPr>
            <w:r w:rsidRPr="00997736">
              <w:rPr>
                <w:lang w:val="en-US"/>
              </w:rPr>
              <w:t xml:space="preserve">ETWS or CMAS capable UEs in RRC_INACTIVE while SDT procedure is not ongoing shall </w:t>
            </w:r>
            <w:proofErr w:type="gramStart"/>
            <w:r w:rsidRPr="00997736">
              <w:rPr>
                <w:lang w:val="en-US"/>
              </w:rPr>
              <w:t>monitor for</w:t>
            </w:r>
            <w:proofErr w:type="gramEnd"/>
            <w:r w:rsidRPr="00997736">
              <w:rPr>
                <w:lang w:val="en-US"/>
              </w:rPr>
              <w:t xml:space="preserve"> indications about PWS notification in its own paging occasion every DRX cycle.</w:t>
            </w:r>
          </w:p>
          <w:p w14:paraId="3C5A3D69" w14:textId="77777777" w:rsidR="00997736" w:rsidRPr="00997736" w:rsidRDefault="00997736" w:rsidP="00997736">
            <w:pPr>
              <w:numPr>
                <w:ilvl w:val="0"/>
                <w:numId w:val="44"/>
              </w:numPr>
              <w:rPr>
                <w:lang w:val="en-US"/>
              </w:rPr>
            </w:pPr>
            <w:r w:rsidRPr="00997736">
              <w:rPr>
                <w:lang w:val="en-US"/>
              </w:rPr>
              <w:t xml:space="preserve">ETWS or CMAS capable UEs in RRC_INACTIVE while SDT procedure is ongoing shall monitor for indication about PWS notification in any paging occasion at least once every </w:t>
            </w:r>
            <w:proofErr w:type="spellStart"/>
            <w:r w:rsidRPr="00997736">
              <w:rPr>
                <w:lang w:val="en-US"/>
              </w:rPr>
              <w:t>defaultPagingCycle</w:t>
            </w:r>
            <w:proofErr w:type="spellEnd"/>
            <w:r w:rsidRPr="00997736">
              <w:rPr>
                <w:lang w:val="en-US"/>
              </w:rPr>
              <w:t>.</w:t>
            </w:r>
          </w:p>
          <w:p w14:paraId="5DE4A95A" w14:textId="77777777" w:rsidR="00997736" w:rsidRDefault="00997736" w:rsidP="00B66B7D">
            <w:pPr>
              <w:rPr>
                <w:lang w:val="en-US"/>
              </w:rPr>
            </w:pPr>
          </w:p>
          <w:p w14:paraId="74412BBF" w14:textId="77777777" w:rsidR="00997736" w:rsidRDefault="00997736" w:rsidP="00B66B7D">
            <w:pPr>
              <w:rPr>
                <w:lang w:val="en-US"/>
              </w:rPr>
            </w:pPr>
          </w:p>
          <w:p w14:paraId="64CB146D" w14:textId="77777777" w:rsidR="00997736" w:rsidRPr="00997736" w:rsidRDefault="00997736" w:rsidP="00997736">
            <w:r w:rsidRPr="00997736">
              <w:t xml:space="preserve">For Rel-19 NTN HD-FDD (e)Redcap UE in RRC connected mode, the following handling rule for </w:t>
            </w:r>
            <w:r w:rsidRPr="00997736">
              <w:rPr>
                <w:highlight w:val="green"/>
              </w:rPr>
              <w:t>collision case 4</w:t>
            </w:r>
            <w:r w:rsidRPr="00997736">
              <w:t xml:space="preserve"> is supported:</w:t>
            </w:r>
          </w:p>
          <w:p w14:paraId="5DDB9168" w14:textId="6AE46187" w:rsidR="00997736" w:rsidRPr="00997736" w:rsidRDefault="00997736" w:rsidP="00997736">
            <w:pPr>
              <w:numPr>
                <w:ilvl w:val="0"/>
                <w:numId w:val="45"/>
              </w:numPr>
            </w:pPr>
            <w:r w:rsidRPr="00997736">
              <w:t xml:space="preserve">Handling of collision with </w:t>
            </w:r>
            <w:proofErr w:type="gramStart"/>
            <w:r w:rsidRPr="00997736">
              <w:t>PDSCH  scheduled</w:t>
            </w:r>
            <w:proofErr w:type="gramEnd"/>
            <w:r w:rsidRPr="00997736">
              <w:t xml:space="preserve"> by Type-0/0A-PDCCH CSS in RRC-Connected mode is left to UE implementation whether to prioritize UL or prioritize DL with the constraint in the note1.</w:t>
            </w:r>
          </w:p>
          <w:p w14:paraId="4B662DA1" w14:textId="567E6CEE" w:rsidR="00997736" w:rsidRPr="00997736" w:rsidRDefault="00997736" w:rsidP="00997736">
            <w:pPr>
              <w:numPr>
                <w:ilvl w:val="0"/>
                <w:numId w:val="45"/>
              </w:numPr>
            </w:pPr>
            <w:r w:rsidRPr="00997736">
              <w:t>Handling of collision with PDSCH scheduled by Type-1/2-PDCCH CSS in RRC-Connected mode is left to UE implementation whether to prioritize UL or prioritize DL with the constraint in the note1.</w:t>
            </w:r>
          </w:p>
          <w:p w14:paraId="2A334DE5" w14:textId="77777777" w:rsidR="00997736" w:rsidRPr="00997736" w:rsidRDefault="00997736" w:rsidP="00997736">
            <w:pPr>
              <w:numPr>
                <w:ilvl w:val="0"/>
                <w:numId w:val="45"/>
              </w:numPr>
            </w:pPr>
            <w:r w:rsidRPr="00997736">
              <w:t>When PDCCH ordered PRACH transmission collides with DL reception, it is up to UE implementation whether to prioritize the PDCCH ordered PRACH transmission</w:t>
            </w:r>
          </w:p>
          <w:p w14:paraId="0D4020BD" w14:textId="77777777" w:rsidR="00997736" w:rsidRPr="00997736" w:rsidRDefault="00997736" w:rsidP="00997736">
            <w:pPr>
              <w:numPr>
                <w:ilvl w:val="0"/>
                <w:numId w:val="45"/>
              </w:numPr>
            </w:pPr>
            <w:r w:rsidRPr="00997736">
              <w:t>For other use cases, default priority rule for collision case 4 in RRC-Connected mode is that DL is prioritized.</w:t>
            </w:r>
          </w:p>
          <w:p w14:paraId="70349E44" w14:textId="77777777" w:rsidR="00997736" w:rsidRPr="00997736" w:rsidRDefault="00997736" w:rsidP="00997736">
            <w:pPr>
              <w:numPr>
                <w:ilvl w:val="1"/>
                <w:numId w:val="45"/>
              </w:numPr>
            </w:pPr>
            <w:r w:rsidRPr="00997736">
              <w:t>Network is allowed to indicate UL overriding DL for all these other cases</w:t>
            </w:r>
          </w:p>
          <w:p w14:paraId="2DA88BF8" w14:textId="77777777" w:rsidR="00997736" w:rsidRPr="00997736" w:rsidRDefault="00997736" w:rsidP="00997736">
            <w:pPr>
              <w:numPr>
                <w:ilvl w:val="2"/>
                <w:numId w:val="45"/>
              </w:numPr>
            </w:pPr>
            <w:r w:rsidRPr="00997736">
              <w:t xml:space="preserve">This is </w:t>
            </w:r>
            <w:proofErr w:type="spellStart"/>
            <w:r w:rsidRPr="00997736">
              <w:t>signaled</w:t>
            </w:r>
            <w:proofErr w:type="spellEnd"/>
            <w:r w:rsidRPr="00997736">
              <w:t xml:space="preserve"> by one UE specific RRC parameter</w:t>
            </w:r>
          </w:p>
          <w:p w14:paraId="360E66E9" w14:textId="56401475" w:rsidR="00997736" w:rsidRPr="00997736" w:rsidRDefault="00997736" w:rsidP="00997736">
            <w:pPr>
              <w:numPr>
                <w:ilvl w:val="1"/>
                <w:numId w:val="45"/>
              </w:numPr>
            </w:pPr>
            <w:r w:rsidRPr="00997736">
              <w:t>If DL is prioritized, the DL prioritization applies only if the UL cancellation timeline can be satisfied, otherwise UL is prioritized.</w:t>
            </w:r>
          </w:p>
          <w:p w14:paraId="618ECCDD" w14:textId="69AC7C2F" w:rsidR="00997736" w:rsidRPr="00997736" w:rsidRDefault="00997736" w:rsidP="00997736">
            <w:r w:rsidRPr="00997736">
              <w:t>Note1: UE shall comply to the following existing procedure in 38.331:</w:t>
            </w:r>
          </w:p>
          <w:p w14:paraId="3E561A6B" w14:textId="77777777" w:rsidR="00997736" w:rsidRPr="00997736" w:rsidRDefault="00997736" w:rsidP="00997736">
            <w:pPr>
              <w:numPr>
                <w:ilvl w:val="0"/>
                <w:numId w:val="46"/>
              </w:numPr>
            </w:pPr>
            <w:r w:rsidRPr="00997736">
              <w:t>UEs in RRC_CONNECTED shall monitor for SI change indication in any paging occasion at least once per modification period if the UE is provided with common search space, including</w:t>
            </w:r>
            <w:r w:rsidRPr="00997736">
              <w:rPr>
                <w:i/>
                <w:iCs/>
              </w:rPr>
              <w:t xml:space="preserve"> </w:t>
            </w:r>
            <w:proofErr w:type="spellStart"/>
            <w:r w:rsidRPr="00997736">
              <w:rPr>
                <w:i/>
                <w:iCs/>
              </w:rPr>
              <w:lastRenderedPageBreak/>
              <w:t>pagingSearchSpace</w:t>
            </w:r>
            <w:proofErr w:type="spellEnd"/>
            <w:r w:rsidRPr="00997736">
              <w:t xml:space="preserve">, </w:t>
            </w:r>
            <w:r w:rsidRPr="00997736">
              <w:rPr>
                <w:i/>
                <w:iCs/>
              </w:rPr>
              <w:t>searchSpaceSIB1</w:t>
            </w:r>
            <w:r w:rsidRPr="00997736">
              <w:t xml:space="preserve"> and </w:t>
            </w:r>
            <w:proofErr w:type="spellStart"/>
            <w:r w:rsidRPr="00997736">
              <w:rPr>
                <w:i/>
                <w:iCs/>
              </w:rPr>
              <w:t>searchSpaceOtherSystemInformation</w:t>
            </w:r>
            <w:proofErr w:type="spellEnd"/>
            <w:r w:rsidRPr="00997736">
              <w:t xml:space="preserve">, on the active BWP to monitor paging, as specified in TS 38.213 [13], clause 13. </w:t>
            </w:r>
          </w:p>
          <w:p w14:paraId="1B80E5CB" w14:textId="77777777" w:rsidR="00997736" w:rsidRPr="00997736" w:rsidRDefault="00997736" w:rsidP="00B66B7D"/>
          <w:p w14:paraId="539BB40F" w14:textId="77777777" w:rsidR="00997736" w:rsidRDefault="00997736" w:rsidP="00B66B7D">
            <w:pPr>
              <w:rPr>
                <w:lang w:val="en-US"/>
              </w:rPr>
            </w:pPr>
          </w:p>
        </w:tc>
      </w:tr>
    </w:tbl>
    <w:p w14:paraId="7A6F14A0" w14:textId="77777777" w:rsidR="00997736" w:rsidRDefault="00997736" w:rsidP="00B66B7D">
      <w:pPr>
        <w:rPr>
          <w:lang w:val="en-US"/>
        </w:rPr>
      </w:pPr>
    </w:p>
    <w:p w14:paraId="0B0D7476" w14:textId="21890EF0" w:rsidR="005E17E4" w:rsidRDefault="005E17E4" w:rsidP="00B66B7D">
      <w:pPr>
        <w:rPr>
          <w:lang w:val="en-US"/>
        </w:rPr>
      </w:pPr>
      <w:r>
        <w:rPr>
          <w:lang w:val="en-US"/>
        </w:rPr>
        <w:t xml:space="preserve">Those are the rules to be used as baseline for the conflict between DL and UL in Ku band with FR1 numerology. We propose to use RAN1 conclusion as baseline and look for the cases where the current collision handling rules do not fit Ku band operation or to find collision cases that are not yet covered by RAN1 design. </w:t>
      </w:r>
    </w:p>
    <w:p w14:paraId="4424C987" w14:textId="61C1EB21" w:rsidR="005E17E4" w:rsidRDefault="005E17E4" w:rsidP="005E17E4">
      <w:pPr>
        <w:pStyle w:val="RAN4proposal"/>
        <w:rPr>
          <w:lang w:val="en-US"/>
        </w:rPr>
      </w:pPr>
      <w:bookmarkStart w:id="2" w:name="_Toc210412555"/>
      <w:r>
        <w:rPr>
          <w:lang w:val="en-US"/>
        </w:rPr>
        <w:t xml:space="preserve">RAN4 to adopt as baseline the collision handling as designed by RAN1 for </w:t>
      </w:r>
      <w:proofErr w:type="spellStart"/>
      <w:r>
        <w:rPr>
          <w:lang w:val="en-US"/>
        </w:rPr>
        <w:t>RedCap</w:t>
      </w:r>
      <w:proofErr w:type="spellEnd"/>
      <w:r>
        <w:rPr>
          <w:lang w:val="en-US"/>
        </w:rPr>
        <w:t xml:space="preserve"> NTN. RAN4 to evaluate if more cases of collision handling need to be addressed.</w:t>
      </w:r>
      <w:bookmarkEnd w:id="2"/>
      <w:r>
        <w:rPr>
          <w:lang w:val="en-US"/>
        </w:rPr>
        <w:t xml:space="preserve"> </w:t>
      </w:r>
    </w:p>
    <w:p w14:paraId="2DAE315B" w14:textId="658A92E9" w:rsidR="005E17E4" w:rsidRDefault="005E17E4" w:rsidP="005E17E4">
      <w:pPr>
        <w:pStyle w:val="RAN4proposal"/>
        <w:rPr>
          <w:lang w:val="en-US"/>
        </w:rPr>
      </w:pPr>
      <w:r>
        <w:rPr>
          <w:lang w:val="en-US"/>
        </w:rPr>
        <w:t xml:space="preserve"> </w:t>
      </w:r>
      <w:bookmarkStart w:id="3" w:name="_Toc210412556"/>
      <w:r>
        <w:rPr>
          <w:lang w:val="en-US"/>
        </w:rPr>
        <w:t xml:space="preserve">At the end of the investigation, RAN4 </w:t>
      </w:r>
      <w:proofErr w:type="gramStart"/>
      <w:r>
        <w:rPr>
          <w:lang w:val="en-US"/>
        </w:rPr>
        <w:t>to inform</w:t>
      </w:r>
      <w:proofErr w:type="gramEnd"/>
      <w:r>
        <w:rPr>
          <w:lang w:val="en-US"/>
        </w:rPr>
        <w:t xml:space="preserve"> RAN1 about the findings, such that RAN1 can create a feature at their specification covering for such collision handling.</w:t>
      </w:r>
      <w:bookmarkEnd w:id="3"/>
      <w:r>
        <w:rPr>
          <w:lang w:val="en-US"/>
        </w:rPr>
        <w:t xml:space="preserve"> </w:t>
      </w:r>
    </w:p>
    <w:p w14:paraId="0BA64B81" w14:textId="215AAB76" w:rsidR="005E17E4" w:rsidRDefault="005E17E4" w:rsidP="005E17E4">
      <w:pPr>
        <w:rPr>
          <w:lang w:val="en-US"/>
        </w:rPr>
      </w:pPr>
      <w:r>
        <w:rPr>
          <w:lang w:val="en-US"/>
        </w:rPr>
        <w:t xml:space="preserve">For several of the collision handlings identified, the problem can be drastically mitigated if the location of the UE or the TA estimation is reported to the network. Although this has been set as an optional feature for </w:t>
      </w:r>
      <w:proofErr w:type="spellStart"/>
      <w:r>
        <w:rPr>
          <w:lang w:val="en-US"/>
        </w:rPr>
        <w:t>RedCap</w:t>
      </w:r>
      <w:proofErr w:type="spellEnd"/>
      <w:r>
        <w:rPr>
          <w:lang w:val="en-US"/>
        </w:rPr>
        <w:t xml:space="preserve"> (and regular NR NTN) devices, Ku </w:t>
      </w:r>
      <w:proofErr w:type="gramStart"/>
      <w:r>
        <w:rPr>
          <w:lang w:val="en-US"/>
        </w:rPr>
        <w:t>band</w:t>
      </w:r>
      <w:proofErr w:type="gramEnd"/>
      <w:r>
        <w:rPr>
          <w:lang w:val="en-US"/>
        </w:rPr>
        <w:t xml:space="preserve"> devices tend to be more complex in their implementation. Besides, the Ku band design and specificities already hamper the UE with significant overhead during mobility procedures (where there is significant scheduling interruption/restriction) in special related to satellite switching and inter-satellite HO. The “duty cycle” is further restricted in a HD-FDD operation. Therefore, it might be beneficial for the Ku Band UEs to support TA estimation. </w:t>
      </w:r>
    </w:p>
    <w:p w14:paraId="2F04A8C9" w14:textId="50D29202" w:rsidR="005E17E4" w:rsidRPr="005E17E4" w:rsidRDefault="005E17E4" w:rsidP="005E17E4">
      <w:pPr>
        <w:pStyle w:val="RAN4proposal"/>
        <w:rPr>
          <w:lang w:val="en-US"/>
        </w:rPr>
      </w:pPr>
      <w:bookmarkStart w:id="4" w:name="_Toc210412557"/>
      <w:r>
        <w:rPr>
          <w:lang w:val="en-US"/>
        </w:rPr>
        <w:t xml:space="preserve">RAN4 to discuss recommending to RAN1 </w:t>
      </w:r>
      <w:proofErr w:type="gramStart"/>
      <w:r>
        <w:rPr>
          <w:lang w:val="en-US"/>
        </w:rPr>
        <w:t>that  TA</w:t>
      </w:r>
      <w:proofErr w:type="gramEnd"/>
      <w:r>
        <w:rPr>
          <w:lang w:val="en-US"/>
        </w:rPr>
        <w:t xml:space="preserve"> reporting should become a mandatory feature for Ku Bands supporting HD-FDD.</w:t>
      </w:r>
      <w:bookmarkEnd w:id="4"/>
      <w:r>
        <w:rPr>
          <w:lang w:val="en-US"/>
        </w:rPr>
        <w:t xml:space="preserve"> </w:t>
      </w:r>
    </w:p>
    <w:p w14:paraId="5EAEC389" w14:textId="6FAEA626" w:rsidR="005E17E4" w:rsidRDefault="005E17E4" w:rsidP="00B66B7D">
      <w:pPr>
        <w:rPr>
          <w:lang w:val="en-US"/>
        </w:rPr>
      </w:pPr>
      <w:r>
        <w:rPr>
          <w:lang w:val="en-US"/>
        </w:rPr>
        <w:t xml:space="preserve">In regard of mobility scenarios, where HD-FDD may cause scheduling restrictions or delay in measurements (or cause the measurement requirements to not be applicable due to collisions between SMTC and UL transmissions), RAN4 shall look for enhancements in gap-less intra-satellite measurement to apply meaningful requirements and measurement procedures that can coexist with UL transmissions and HD-FDD operation. </w:t>
      </w:r>
    </w:p>
    <w:p w14:paraId="12DF0887" w14:textId="55BCAB01" w:rsidR="005E17E4" w:rsidRDefault="005E17E4" w:rsidP="005E17E4">
      <w:pPr>
        <w:pStyle w:val="RAN4proposal"/>
        <w:rPr>
          <w:lang w:val="en-US"/>
        </w:rPr>
      </w:pPr>
      <w:bookmarkStart w:id="5" w:name="_Toc210412558"/>
      <w:r>
        <w:rPr>
          <w:lang w:val="en-US"/>
        </w:rPr>
        <w:t>RAN4 to study potential enhancements in intra-satellite measurements to support mobility measurements in HD-FDD mode.</w:t>
      </w:r>
      <w:bookmarkEnd w:id="5"/>
      <w:r>
        <w:rPr>
          <w:lang w:val="en-US"/>
        </w:rPr>
        <w:t xml:space="preserve"> </w:t>
      </w:r>
    </w:p>
    <w:p w14:paraId="1309451F" w14:textId="77777777" w:rsidR="00A41906" w:rsidRPr="00A21E4A" w:rsidRDefault="00A41906" w:rsidP="00A21E4A">
      <w:pPr>
        <w:rPr>
          <w:lang w:val="en-US"/>
        </w:rPr>
      </w:pPr>
    </w:p>
    <w:p w14:paraId="21D3CC79" w14:textId="77777777" w:rsidR="00A21E4A" w:rsidRDefault="00A21E4A" w:rsidP="00A21E4A">
      <w:pPr>
        <w:rPr>
          <w:lang w:val="en-US"/>
        </w:rPr>
      </w:pPr>
    </w:p>
    <w:p w14:paraId="36430476" w14:textId="77777777" w:rsidR="00A21E4A" w:rsidRPr="00A21E4A" w:rsidRDefault="00A21E4A" w:rsidP="00A21E4A">
      <w:pPr>
        <w:rPr>
          <w:lang w:val="en-US"/>
        </w:rPr>
      </w:pPr>
    </w:p>
    <w:p w14:paraId="0F32B173" w14:textId="77777777" w:rsidR="00CD7492" w:rsidRPr="008F786B" w:rsidRDefault="00CD7492" w:rsidP="00A37002">
      <w:pPr>
        <w:pStyle w:val="RAN4H1"/>
      </w:pPr>
      <w:bookmarkStart w:id="6" w:name="_Toc116995848"/>
      <w:r w:rsidRPr="008F786B">
        <w:t>Conclusion</w:t>
      </w:r>
      <w:bookmarkEnd w:id="6"/>
    </w:p>
    <w:p w14:paraId="26CE49BE" w14:textId="50465FB8" w:rsidR="00381F95" w:rsidRPr="002B6B92" w:rsidRDefault="002B6B92" w:rsidP="00936159">
      <w:r w:rsidRPr="002B6B92">
        <w:t xml:space="preserve">In this paper we discussed the impact of </w:t>
      </w:r>
      <w:r w:rsidR="005E17E4">
        <w:t>introducing HD-FDD for Ku band with FR1 numerology. Our proposals for this topic were provided as follows:</w:t>
      </w:r>
    </w:p>
    <w:p w14:paraId="52EFC401" w14:textId="77777777" w:rsidR="00381F95" w:rsidRPr="002872A9" w:rsidRDefault="00381F95" w:rsidP="00936159">
      <w:pPr>
        <w:rPr>
          <w:highlight w:val="yellow"/>
        </w:rPr>
      </w:pPr>
    </w:p>
    <w:p w14:paraId="79C53149" w14:textId="77777777" w:rsidR="00771FD1"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412555" w:history="1">
        <w:r w:rsidR="00771FD1" w:rsidRPr="00FA30A4">
          <w:rPr>
            <w:rStyle w:val="Hyperlink"/>
            <w:noProof/>
            <w:lang w:val="en-US"/>
          </w:rPr>
          <w:t>Proposal 1: RAN4 to adopt as baseline the collision handling as designed by RAN1 for RedCap NTN. RAN4 to evaluate if more cases of collision handling need to be addressed.</w:t>
        </w:r>
      </w:hyperlink>
    </w:p>
    <w:p w14:paraId="1D00C7B1" w14:textId="77777777" w:rsidR="00771FD1" w:rsidRDefault="00771FD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2556" w:history="1">
        <w:r w:rsidRPr="00FA30A4">
          <w:rPr>
            <w:rStyle w:val="Hyperlink"/>
            <w:noProof/>
            <w:lang w:val="en-US"/>
          </w:rPr>
          <w:t>Proposal 2: At the end of the investigation, RAN4 to inform RAN1 about the findings, such that RAN1 can create a feature at their specification covering for such collision handling.</w:t>
        </w:r>
      </w:hyperlink>
    </w:p>
    <w:p w14:paraId="41F982AE" w14:textId="77777777" w:rsidR="00771FD1" w:rsidRDefault="00771FD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2557" w:history="1">
        <w:r w:rsidRPr="00FA30A4">
          <w:rPr>
            <w:rStyle w:val="Hyperlink"/>
            <w:noProof/>
            <w:lang w:val="en-US"/>
          </w:rPr>
          <w:t>Proposal 3: RAN4 to discuss recommending to RAN1 that  TA reporting should become a mandatory feature for Ku Bands supporting HD-FDD.</w:t>
        </w:r>
      </w:hyperlink>
    </w:p>
    <w:p w14:paraId="1C171B97" w14:textId="77777777" w:rsidR="00771FD1" w:rsidRDefault="00771FD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2558" w:history="1">
        <w:r w:rsidRPr="00FA30A4">
          <w:rPr>
            <w:rStyle w:val="Hyperlink"/>
            <w:noProof/>
            <w:lang w:val="en-US"/>
          </w:rPr>
          <w:t>Proposal 4: RAN4 to study potential enhancements in intra-satellite measurements to support mobility measurements in HD-FDD mode.</w:t>
        </w:r>
      </w:hyperlink>
    </w:p>
    <w:p w14:paraId="7DF8C3E5" w14:textId="3D8A232F" w:rsidR="00847264" w:rsidRPr="008F786B" w:rsidRDefault="00A4355E" w:rsidP="008C39F7">
      <w:r w:rsidRPr="008F786B">
        <w:fldChar w:fldCharType="end"/>
      </w:r>
      <w:bookmarkStart w:id="7" w:name="_Toc116995849"/>
    </w:p>
    <w:p w14:paraId="4B8014E9" w14:textId="77777777" w:rsidR="003B659E" w:rsidRPr="008F786B" w:rsidRDefault="003B659E" w:rsidP="0060543D">
      <w:pPr>
        <w:pStyle w:val="RAN4H1"/>
        <w:numPr>
          <w:ilvl w:val="0"/>
          <w:numId w:val="0"/>
        </w:numPr>
        <w:ind w:left="360" w:hanging="360"/>
      </w:pPr>
      <w:r w:rsidRPr="008F786B">
        <w:lastRenderedPageBreak/>
        <w:t>References</w:t>
      </w:r>
      <w:bookmarkEnd w:id="7"/>
    </w:p>
    <w:p w14:paraId="64A0B614" w14:textId="1E2E6135" w:rsidR="00640B91" w:rsidRPr="00640B91" w:rsidRDefault="00123CFF" w:rsidP="00DE24C9">
      <w:pPr>
        <w:pStyle w:val="ListParagraph"/>
        <w:numPr>
          <w:ilvl w:val="0"/>
          <w:numId w:val="21"/>
        </w:numPr>
      </w:pPr>
      <w:bookmarkStart w:id="8" w:name="_Ref114500673"/>
      <w:bookmarkStart w:id="9" w:name="_Ref210295558"/>
      <w:bookmarkStart w:id="10" w:name="_Ref178945346"/>
      <w:bookmarkEnd w:id="8"/>
      <w:r w:rsidRPr="00123CFF">
        <w:t>R4-2512146</w:t>
      </w:r>
      <w:r w:rsidR="00640B91">
        <w:t xml:space="preserve">, </w:t>
      </w:r>
      <w:r w:rsidRPr="00123CFF">
        <w:t>WF on RRM requirements for NR_NTN_Ph3_Part1</w:t>
      </w:r>
      <w:r w:rsidR="00640B91" w:rsidRPr="00640B91">
        <w:t>, RAN WG</w:t>
      </w:r>
      <w:r>
        <w:t>4</w:t>
      </w:r>
      <w:r w:rsidR="00640B91" w:rsidRPr="00640B91">
        <w:t xml:space="preserve"> Meeting #1</w:t>
      </w:r>
      <w:r>
        <w:t>16</w:t>
      </w:r>
      <w:r w:rsidR="00640B91">
        <w:t xml:space="preserve">, </w:t>
      </w:r>
      <w:r w:rsidR="00640B91" w:rsidRPr="00640B91">
        <w:t>Bengaluru, India, 25th - 29thAugust</w:t>
      </w:r>
      <w:r w:rsidR="00640B91">
        <w:t>,</w:t>
      </w:r>
      <w:r w:rsidR="00640B91" w:rsidRPr="00640B91">
        <w:t xml:space="preserve"> 2025</w:t>
      </w:r>
      <w:bookmarkEnd w:id="9"/>
    </w:p>
    <w:p w14:paraId="58212979" w14:textId="679B9BA5" w:rsidR="00E82B94" w:rsidRPr="008F786B" w:rsidRDefault="007A5589" w:rsidP="00D62E12">
      <w:pPr>
        <w:pStyle w:val="ListParagraph"/>
        <w:numPr>
          <w:ilvl w:val="0"/>
          <w:numId w:val="21"/>
        </w:numPr>
        <w:ind w:right="-22"/>
      </w:pPr>
      <w:bookmarkStart w:id="11" w:name="_Ref197437842"/>
      <w:bookmarkEnd w:id="10"/>
      <w:r w:rsidRPr="007A5589">
        <w:t>on SMTC enhancements</w:t>
      </w:r>
      <w:r>
        <w:t xml:space="preserve">, </w:t>
      </w:r>
      <w:r w:rsidRPr="007A5589">
        <w:t>RAN WG2 Meeting #129bis</w:t>
      </w:r>
      <w:r>
        <w:t xml:space="preserve">, </w:t>
      </w:r>
      <w:r w:rsidRPr="007A5589">
        <w:t xml:space="preserve">Wuhan, China, 7 - 11 </w:t>
      </w:r>
      <w:proofErr w:type="gramStart"/>
      <w:r w:rsidRPr="007A5589">
        <w:t>Apr,</w:t>
      </w:r>
      <w:proofErr w:type="gramEnd"/>
      <w:r w:rsidRPr="007A5589">
        <w:t xml:space="preserve"> 2025</w:t>
      </w:r>
      <w:bookmarkEnd w:id="11"/>
    </w:p>
    <w:p w14:paraId="0EB70073" w14:textId="77777777" w:rsidR="00E43BF9" w:rsidRDefault="00E43BF9" w:rsidP="00E43BF9">
      <w:pPr>
        <w:ind w:right="-22"/>
      </w:pPr>
    </w:p>
    <w:p w14:paraId="3F0D00D0" w14:textId="77777777" w:rsidR="009E3C7C" w:rsidRDefault="009E3C7C" w:rsidP="00E43BF9">
      <w:pPr>
        <w:ind w:right="-22"/>
      </w:pPr>
    </w:p>
    <w:p w14:paraId="1CDC344A" w14:textId="77777777" w:rsidR="009E3C7C" w:rsidRDefault="009E3C7C" w:rsidP="00E43BF9">
      <w:pPr>
        <w:ind w:right="-22"/>
      </w:pPr>
    </w:p>
    <w:p w14:paraId="06B55B0A" w14:textId="77777777" w:rsidR="009E3C7C" w:rsidRPr="008F786B" w:rsidRDefault="009E3C7C" w:rsidP="00E43BF9">
      <w:pPr>
        <w:ind w:right="-22"/>
      </w:pPr>
    </w:p>
    <w:sectPr w:rsidR="009E3C7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81E2A" w14:textId="77777777" w:rsidR="00C80ADD" w:rsidRDefault="00C80ADD" w:rsidP="00001C9B">
      <w:pPr>
        <w:spacing w:after="0" w:line="240" w:lineRule="auto"/>
      </w:pPr>
      <w:r>
        <w:separator/>
      </w:r>
    </w:p>
  </w:endnote>
  <w:endnote w:type="continuationSeparator" w:id="0">
    <w:p w14:paraId="236F6D9D" w14:textId="77777777" w:rsidR="00C80ADD" w:rsidRDefault="00C80ADD" w:rsidP="00001C9B">
      <w:pPr>
        <w:spacing w:after="0" w:line="240" w:lineRule="auto"/>
      </w:pPr>
      <w:r>
        <w:continuationSeparator/>
      </w:r>
    </w:p>
  </w:endnote>
  <w:endnote w:type="continuationNotice" w:id="1">
    <w:p w14:paraId="4478B09E" w14:textId="77777777" w:rsidR="00C80ADD" w:rsidRDefault="00C80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Text">
    <w:panose1 w:val="00000000000000000000"/>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35058" w14:textId="77777777" w:rsidR="00C80ADD" w:rsidRDefault="00C80ADD" w:rsidP="00001C9B">
      <w:pPr>
        <w:spacing w:after="0" w:line="240" w:lineRule="auto"/>
      </w:pPr>
      <w:r>
        <w:separator/>
      </w:r>
    </w:p>
  </w:footnote>
  <w:footnote w:type="continuationSeparator" w:id="0">
    <w:p w14:paraId="53C7C57A" w14:textId="77777777" w:rsidR="00C80ADD" w:rsidRDefault="00C80ADD" w:rsidP="00001C9B">
      <w:pPr>
        <w:spacing w:after="0" w:line="240" w:lineRule="auto"/>
      </w:pPr>
      <w:r>
        <w:continuationSeparator/>
      </w:r>
    </w:p>
  </w:footnote>
  <w:footnote w:type="continuationNotice" w:id="1">
    <w:p w14:paraId="55346C7F" w14:textId="77777777" w:rsidR="00C80ADD" w:rsidRDefault="00C80A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32D"/>
    <w:multiLevelType w:val="hybridMultilevel"/>
    <w:tmpl w:val="4A86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46595"/>
    <w:multiLevelType w:val="hybridMultilevel"/>
    <w:tmpl w:val="A806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C863B2"/>
    <w:multiLevelType w:val="hybridMultilevel"/>
    <w:tmpl w:val="7BF86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B77B56"/>
    <w:multiLevelType w:val="hybridMultilevel"/>
    <w:tmpl w:val="C80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94E2C1A"/>
    <w:multiLevelType w:val="hybridMultilevel"/>
    <w:tmpl w:val="4CAA8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728D4"/>
    <w:multiLevelType w:val="hybridMultilevel"/>
    <w:tmpl w:val="FC3E9620"/>
    <w:lvl w:ilvl="0" w:tplc="4CB2D78C">
      <w:start w:val="6"/>
      <w:numFmt w:val="bullet"/>
      <w:lvlText w:val="-"/>
      <w:lvlJc w:val="left"/>
      <w:pPr>
        <w:ind w:left="3936" w:hanging="420"/>
      </w:pPr>
      <w:rPr>
        <w:rFonts w:ascii="Times New Roman" w:eastAsia="SimSun" w:hAnsi="Times New Roman" w:cs="Times New Roman" w:hint="default"/>
      </w:rPr>
    </w:lvl>
    <w:lvl w:ilvl="1" w:tplc="04090003">
      <w:start w:val="1"/>
      <w:numFmt w:val="bullet"/>
      <w:lvlText w:val=""/>
      <w:lvlJc w:val="left"/>
      <w:pPr>
        <w:ind w:left="4356" w:hanging="420"/>
      </w:pPr>
      <w:rPr>
        <w:rFonts w:ascii="Wingdings" w:hAnsi="Wingdings" w:hint="default"/>
      </w:rPr>
    </w:lvl>
    <w:lvl w:ilvl="2" w:tplc="04090005">
      <w:start w:val="1"/>
      <w:numFmt w:val="bullet"/>
      <w:lvlText w:val=""/>
      <w:lvlJc w:val="left"/>
      <w:pPr>
        <w:ind w:left="4776" w:hanging="420"/>
      </w:pPr>
      <w:rPr>
        <w:rFonts w:ascii="Wingdings" w:hAnsi="Wingdings" w:hint="default"/>
      </w:rPr>
    </w:lvl>
    <w:lvl w:ilvl="3" w:tplc="04090001">
      <w:start w:val="1"/>
      <w:numFmt w:val="bullet"/>
      <w:lvlText w:val=""/>
      <w:lvlJc w:val="left"/>
      <w:pPr>
        <w:ind w:left="5196" w:hanging="420"/>
      </w:pPr>
      <w:rPr>
        <w:rFonts w:ascii="Wingdings" w:hAnsi="Wingdings" w:hint="default"/>
      </w:rPr>
    </w:lvl>
    <w:lvl w:ilvl="4" w:tplc="04090003">
      <w:start w:val="1"/>
      <w:numFmt w:val="bullet"/>
      <w:lvlText w:val=""/>
      <w:lvlJc w:val="left"/>
      <w:pPr>
        <w:ind w:left="5616" w:hanging="420"/>
      </w:pPr>
      <w:rPr>
        <w:rFonts w:ascii="Wingdings" w:hAnsi="Wingdings" w:hint="default"/>
      </w:rPr>
    </w:lvl>
    <w:lvl w:ilvl="5" w:tplc="04090005">
      <w:start w:val="1"/>
      <w:numFmt w:val="bullet"/>
      <w:lvlText w:val=""/>
      <w:lvlJc w:val="left"/>
      <w:pPr>
        <w:ind w:left="6036" w:hanging="420"/>
      </w:pPr>
      <w:rPr>
        <w:rFonts w:ascii="Wingdings" w:hAnsi="Wingdings" w:hint="default"/>
      </w:rPr>
    </w:lvl>
    <w:lvl w:ilvl="6" w:tplc="04090001">
      <w:start w:val="1"/>
      <w:numFmt w:val="bullet"/>
      <w:lvlText w:val=""/>
      <w:lvlJc w:val="left"/>
      <w:pPr>
        <w:ind w:left="6456" w:hanging="420"/>
      </w:pPr>
      <w:rPr>
        <w:rFonts w:ascii="Wingdings" w:hAnsi="Wingdings" w:hint="default"/>
      </w:rPr>
    </w:lvl>
    <w:lvl w:ilvl="7" w:tplc="04090003">
      <w:start w:val="1"/>
      <w:numFmt w:val="bullet"/>
      <w:lvlText w:val=""/>
      <w:lvlJc w:val="left"/>
      <w:pPr>
        <w:ind w:left="6876" w:hanging="420"/>
      </w:pPr>
      <w:rPr>
        <w:rFonts w:ascii="Wingdings" w:hAnsi="Wingdings" w:hint="default"/>
      </w:rPr>
    </w:lvl>
    <w:lvl w:ilvl="8" w:tplc="04090005">
      <w:start w:val="1"/>
      <w:numFmt w:val="bullet"/>
      <w:lvlText w:val=""/>
      <w:lvlJc w:val="left"/>
      <w:pPr>
        <w:ind w:left="7296" w:hanging="420"/>
      </w:pPr>
      <w:rPr>
        <w:rFonts w:ascii="Wingdings" w:hAnsi="Wingdings" w:hint="default"/>
      </w:rPr>
    </w:lvl>
  </w:abstractNum>
  <w:abstractNum w:abstractNumId="28" w15:restartNumberingAfterBreak="0">
    <w:nsid w:val="6A4F36C4"/>
    <w:multiLevelType w:val="hybridMultilevel"/>
    <w:tmpl w:val="9C24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3"/>
  </w:num>
  <w:num w:numId="2" w16cid:durableId="1469392472">
    <w:abstractNumId w:val="10"/>
  </w:num>
  <w:num w:numId="3" w16cid:durableId="1792749823">
    <w:abstractNumId w:val="17"/>
  </w:num>
  <w:num w:numId="4" w16cid:durableId="517735681">
    <w:abstractNumId w:val="9"/>
  </w:num>
  <w:num w:numId="5" w16cid:durableId="1142041724">
    <w:abstractNumId w:val="25"/>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32"/>
  </w:num>
  <w:num w:numId="16" w16cid:durableId="516113510">
    <w:abstractNumId w:val="8"/>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1140414542">
    <w:abstractNumId w:val="33"/>
  </w:num>
  <w:num w:numId="28" w16cid:durableId="2095668156">
    <w:abstractNumId w:val="6"/>
  </w:num>
  <w:num w:numId="29" w16cid:durableId="700278259">
    <w:abstractNumId w:val="28"/>
  </w:num>
  <w:num w:numId="30" w16cid:durableId="2133164022">
    <w:abstractNumId w:val="22"/>
  </w:num>
  <w:num w:numId="31" w16cid:durableId="386153439">
    <w:abstractNumId w:val="24"/>
  </w:num>
  <w:num w:numId="32" w16cid:durableId="1683899053">
    <w:abstractNumId w:val="11"/>
  </w:num>
  <w:num w:numId="33" w16cid:durableId="216363515">
    <w:abstractNumId w:val="13"/>
  </w:num>
  <w:num w:numId="34" w16cid:durableId="1934630209">
    <w:abstractNumId w:val="0"/>
  </w:num>
  <w:num w:numId="35" w16cid:durableId="280040905">
    <w:abstractNumId w:val="21"/>
  </w:num>
  <w:num w:numId="36" w16cid:durableId="563225620">
    <w:abstractNumId w:val="19"/>
  </w:num>
  <w:num w:numId="37" w16cid:durableId="1009793501">
    <w:abstractNumId w:val="27"/>
  </w:num>
  <w:num w:numId="38" w16cid:durableId="1900091252">
    <w:abstractNumId w:val="26"/>
  </w:num>
  <w:num w:numId="39" w16cid:durableId="918826668">
    <w:abstractNumId w:val="31"/>
  </w:num>
  <w:num w:numId="40" w16cid:durableId="961885565">
    <w:abstractNumId w:val="5"/>
  </w:num>
  <w:num w:numId="41" w16cid:durableId="1252856897">
    <w:abstractNumId w:val="18"/>
  </w:num>
  <w:num w:numId="42" w16cid:durableId="864052076">
    <w:abstractNumId w:val="1"/>
  </w:num>
  <w:num w:numId="43" w16cid:durableId="1223366847">
    <w:abstractNumId w:val="30"/>
  </w:num>
  <w:num w:numId="44" w16cid:durableId="384721642">
    <w:abstractNumId w:val="7"/>
  </w:num>
  <w:num w:numId="45" w16cid:durableId="1495416371">
    <w:abstractNumId w:val="29"/>
  </w:num>
  <w:num w:numId="46" w16cid:durableId="2066504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836F6"/>
    <w:rsid w:val="00001411"/>
    <w:rsid w:val="00001C9B"/>
    <w:rsid w:val="000040DC"/>
    <w:rsid w:val="00011784"/>
    <w:rsid w:val="000151EF"/>
    <w:rsid w:val="000239F5"/>
    <w:rsid w:val="00027118"/>
    <w:rsid w:val="00037101"/>
    <w:rsid w:val="00061256"/>
    <w:rsid w:val="00072CCA"/>
    <w:rsid w:val="000731AE"/>
    <w:rsid w:val="0007430D"/>
    <w:rsid w:val="0007601C"/>
    <w:rsid w:val="00081544"/>
    <w:rsid w:val="00085017"/>
    <w:rsid w:val="0008612A"/>
    <w:rsid w:val="00090E18"/>
    <w:rsid w:val="000A10BC"/>
    <w:rsid w:val="000A2ED5"/>
    <w:rsid w:val="000A7F53"/>
    <w:rsid w:val="000B0056"/>
    <w:rsid w:val="000B1AA4"/>
    <w:rsid w:val="000C2357"/>
    <w:rsid w:val="000C3C7B"/>
    <w:rsid w:val="000C3F10"/>
    <w:rsid w:val="000D0F93"/>
    <w:rsid w:val="000E6CA4"/>
    <w:rsid w:val="000E7ED3"/>
    <w:rsid w:val="001058AB"/>
    <w:rsid w:val="00106416"/>
    <w:rsid w:val="00110481"/>
    <w:rsid w:val="0011052E"/>
    <w:rsid w:val="001113FD"/>
    <w:rsid w:val="001127C9"/>
    <w:rsid w:val="00114498"/>
    <w:rsid w:val="00115B88"/>
    <w:rsid w:val="00123CFF"/>
    <w:rsid w:val="00132F6A"/>
    <w:rsid w:val="00133913"/>
    <w:rsid w:val="00140221"/>
    <w:rsid w:val="00142A31"/>
    <w:rsid w:val="0014557E"/>
    <w:rsid w:val="00160307"/>
    <w:rsid w:val="00161913"/>
    <w:rsid w:val="00162327"/>
    <w:rsid w:val="001642FC"/>
    <w:rsid w:val="0016496B"/>
    <w:rsid w:val="00173E4B"/>
    <w:rsid w:val="001743E2"/>
    <w:rsid w:val="001745F8"/>
    <w:rsid w:val="00182687"/>
    <w:rsid w:val="001838CF"/>
    <w:rsid w:val="001868EE"/>
    <w:rsid w:val="00194AEC"/>
    <w:rsid w:val="001A3BA4"/>
    <w:rsid w:val="001A6D1F"/>
    <w:rsid w:val="001B1EA8"/>
    <w:rsid w:val="001C1636"/>
    <w:rsid w:val="001D6EB2"/>
    <w:rsid w:val="001E30F6"/>
    <w:rsid w:val="0020026A"/>
    <w:rsid w:val="0021018B"/>
    <w:rsid w:val="00216379"/>
    <w:rsid w:val="00217EE5"/>
    <w:rsid w:val="00225D10"/>
    <w:rsid w:val="002351D8"/>
    <w:rsid w:val="0023559D"/>
    <w:rsid w:val="00235F5C"/>
    <w:rsid w:val="0024235F"/>
    <w:rsid w:val="002433E2"/>
    <w:rsid w:val="00257FA3"/>
    <w:rsid w:val="0027724B"/>
    <w:rsid w:val="00277B56"/>
    <w:rsid w:val="00277CB6"/>
    <w:rsid w:val="00281B89"/>
    <w:rsid w:val="00282A74"/>
    <w:rsid w:val="00283CEA"/>
    <w:rsid w:val="002849D4"/>
    <w:rsid w:val="002872A9"/>
    <w:rsid w:val="00290244"/>
    <w:rsid w:val="002909DC"/>
    <w:rsid w:val="00295E70"/>
    <w:rsid w:val="002969B6"/>
    <w:rsid w:val="002A19F5"/>
    <w:rsid w:val="002B4922"/>
    <w:rsid w:val="002B69F3"/>
    <w:rsid w:val="002B6B92"/>
    <w:rsid w:val="002C019B"/>
    <w:rsid w:val="002C0CD1"/>
    <w:rsid w:val="002C22C3"/>
    <w:rsid w:val="002C2D19"/>
    <w:rsid w:val="002D10FA"/>
    <w:rsid w:val="002D4C55"/>
    <w:rsid w:val="002E411A"/>
    <w:rsid w:val="002E6DED"/>
    <w:rsid w:val="002F0407"/>
    <w:rsid w:val="00300956"/>
    <w:rsid w:val="00307EE8"/>
    <w:rsid w:val="00317187"/>
    <w:rsid w:val="0032499A"/>
    <w:rsid w:val="0033366B"/>
    <w:rsid w:val="003341F7"/>
    <w:rsid w:val="00347FEC"/>
    <w:rsid w:val="003509DF"/>
    <w:rsid w:val="00355CA8"/>
    <w:rsid w:val="00356F45"/>
    <w:rsid w:val="00366B74"/>
    <w:rsid w:val="003774C0"/>
    <w:rsid w:val="00381F95"/>
    <w:rsid w:val="003A710A"/>
    <w:rsid w:val="003B08CA"/>
    <w:rsid w:val="003B4307"/>
    <w:rsid w:val="003B659E"/>
    <w:rsid w:val="003B6F92"/>
    <w:rsid w:val="003C275E"/>
    <w:rsid w:val="003C4FDE"/>
    <w:rsid w:val="003E2D3B"/>
    <w:rsid w:val="003E58DF"/>
    <w:rsid w:val="003E70EE"/>
    <w:rsid w:val="003F7007"/>
    <w:rsid w:val="00404C4C"/>
    <w:rsid w:val="0041423F"/>
    <w:rsid w:val="00414F81"/>
    <w:rsid w:val="00426B9A"/>
    <w:rsid w:val="00436A0F"/>
    <w:rsid w:val="00437150"/>
    <w:rsid w:val="0043750A"/>
    <w:rsid w:val="00443F2C"/>
    <w:rsid w:val="00447577"/>
    <w:rsid w:val="004732E9"/>
    <w:rsid w:val="00476378"/>
    <w:rsid w:val="004854BB"/>
    <w:rsid w:val="00494493"/>
    <w:rsid w:val="00496606"/>
    <w:rsid w:val="004A3881"/>
    <w:rsid w:val="004D6E6A"/>
    <w:rsid w:val="004E5E66"/>
    <w:rsid w:val="004E7ADB"/>
    <w:rsid w:val="00500F60"/>
    <w:rsid w:val="00503B4D"/>
    <w:rsid w:val="00504EE9"/>
    <w:rsid w:val="00514E4F"/>
    <w:rsid w:val="00521576"/>
    <w:rsid w:val="00524FB0"/>
    <w:rsid w:val="005250E6"/>
    <w:rsid w:val="00532F86"/>
    <w:rsid w:val="00542D23"/>
    <w:rsid w:val="0054442C"/>
    <w:rsid w:val="005457D3"/>
    <w:rsid w:val="00545E53"/>
    <w:rsid w:val="00550285"/>
    <w:rsid w:val="00550BF3"/>
    <w:rsid w:val="00562492"/>
    <w:rsid w:val="005624E0"/>
    <w:rsid w:val="00572A20"/>
    <w:rsid w:val="00575017"/>
    <w:rsid w:val="00581618"/>
    <w:rsid w:val="005836F6"/>
    <w:rsid w:val="005836F8"/>
    <w:rsid w:val="005918FA"/>
    <w:rsid w:val="00592A86"/>
    <w:rsid w:val="005B3029"/>
    <w:rsid w:val="005B4801"/>
    <w:rsid w:val="005B699A"/>
    <w:rsid w:val="005C23A4"/>
    <w:rsid w:val="005C68EE"/>
    <w:rsid w:val="005C7EFA"/>
    <w:rsid w:val="005D1CDF"/>
    <w:rsid w:val="005D2BB7"/>
    <w:rsid w:val="005D363F"/>
    <w:rsid w:val="005D6FFE"/>
    <w:rsid w:val="005E17E4"/>
    <w:rsid w:val="005E61A8"/>
    <w:rsid w:val="005F6419"/>
    <w:rsid w:val="0060301D"/>
    <w:rsid w:val="0060543D"/>
    <w:rsid w:val="006104DD"/>
    <w:rsid w:val="00610E5A"/>
    <w:rsid w:val="006130B5"/>
    <w:rsid w:val="00614DD8"/>
    <w:rsid w:val="00617400"/>
    <w:rsid w:val="00622C78"/>
    <w:rsid w:val="0063114C"/>
    <w:rsid w:val="00632D29"/>
    <w:rsid w:val="00640B91"/>
    <w:rsid w:val="0064171D"/>
    <w:rsid w:val="00664950"/>
    <w:rsid w:val="00680547"/>
    <w:rsid w:val="00683220"/>
    <w:rsid w:val="0068781B"/>
    <w:rsid w:val="00687FA0"/>
    <w:rsid w:val="006A3C11"/>
    <w:rsid w:val="006B7010"/>
    <w:rsid w:val="006C3095"/>
    <w:rsid w:val="006D36CA"/>
    <w:rsid w:val="006D38DC"/>
    <w:rsid w:val="006D571E"/>
    <w:rsid w:val="006E1151"/>
    <w:rsid w:val="006E4F45"/>
    <w:rsid w:val="006E6311"/>
    <w:rsid w:val="00701D91"/>
    <w:rsid w:val="00710D71"/>
    <w:rsid w:val="007145FF"/>
    <w:rsid w:val="00715B2A"/>
    <w:rsid w:val="00733B21"/>
    <w:rsid w:val="007376A9"/>
    <w:rsid w:val="00744554"/>
    <w:rsid w:val="007450F1"/>
    <w:rsid w:val="00751515"/>
    <w:rsid w:val="00753943"/>
    <w:rsid w:val="007626B7"/>
    <w:rsid w:val="00771FD1"/>
    <w:rsid w:val="00772284"/>
    <w:rsid w:val="0078212B"/>
    <w:rsid w:val="00784DF6"/>
    <w:rsid w:val="00785232"/>
    <w:rsid w:val="007A2588"/>
    <w:rsid w:val="007A26E2"/>
    <w:rsid w:val="007A5589"/>
    <w:rsid w:val="007B186C"/>
    <w:rsid w:val="007C1696"/>
    <w:rsid w:val="007C3ED0"/>
    <w:rsid w:val="007C48C4"/>
    <w:rsid w:val="007C5971"/>
    <w:rsid w:val="007E42DC"/>
    <w:rsid w:val="007E4668"/>
    <w:rsid w:val="007E73ED"/>
    <w:rsid w:val="007F54B9"/>
    <w:rsid w:val="007F6898"/>
    <w:rsid w:val="007F7E32"/>
    <w:rsid w:val="00806A76"/>
    <w:rsid w:val="00811C9D"/>
    <w:rsid w:val="00816C80"/>
    <w:rsid w:val="0081797B"/>
    <w:rsid w:val="0082796A"/>
    <w:rsid w:val="0083707A"/>
    <w:rsid w:val="00841BCD"/>
    <w:rsid w:val="0084590C"/>
    <w:rsid w:val="00847264"/>
    <w:rsid w:val="00851A8E"/>
    <w:rsid w:val="0085365B"/>
    <w:rsid w:val="008545E6"/>
    <w:rsid w:val="00866028"/>
    <w:rsid w:val="008668DA"/>
    <w:rsid w:val="0087310E"/>
    <w:rsid w:val="008826C1"/>
    <w:rsid w:val="00883DFD"/>
    <w:rsid w:val="00885A38"/>
    <w:rsid w:val="0089210C"/>
    <w:rsid w:val="00893D2E"/>
    <w:rsid w:val="0089556D"/>
    <w:rsid w:val="00895AFB"/>
    <w:rsid w:val="008A1BF7"/>
    <w:rsid w:val="008A5B0E"/>
    <w:rsid w:val="008B0961"/>
    <w:rsid w:val="008B1179"/>
    <w:rsid w:val="008B4C15"/>
    <w:rsid w:val="008C39F7"/>
    <w:rsid w:val="008E08AC"/>
    <w:rsid w:val="008E37D6"/>
    <w:rsid w:val="008F786B"/>
    <w:rsid w:val="009002CB"/>
    <w:rsid w:val="0090091A"/>
    <w:rsid w:val="0090373B"/>
    <w:rsid w:val="009042BD"/>
    <w:rsid w:val="00904FE4"/>
    <w:rsid w:val="009056ED"/>
    <w:rsid w:val="009062D9"/>
    <w:rsid w:val="009156B4"/>
    <w:rsid w:val="00916123"/>
    <w:rsid w:val="00927740"/>
    <w:rsid w:val="00927B85"/>
    <w:rsid w:val="009314D2"/>
    <w:rsid w:val="0093395F"/>
    <w:rsid w:val="00936159"/>
    <w:rsid w:val="0095782C"/>
    <w:rsid w:val="00973EF1"/>
    <w:rsid w:val="009777A8"/>
    <w:rsid w:val="00977E1D"/>
    <w:rsid w:val="009809DB"/>
    <w:rsid w:val="009920F1"/>
    <w:rsid w:val="00997736"/>
    <w:rsid w:val="009A32FE"/>
    <w:rsid w:val="009A4C8E"/>
    <w:rsid w:val="009B0573"/>
    <w:rsid w:val="009B33C6"/>
    <w:rsid w:val="009B7B4B"/>
    <w:rsid w:val="009B7C21"/>
    <w:rsid w:val="009D40C9"/>
    <w:rsid w:val="009D705F"/>
    <w:rsid w:val="009E3C7C"/>
    <w:rsid w:val="009E4E6E"/>
    <w:rsid w:val="009E5FA9"/>
    <w:rsid w:val="00A0250B"/>
    <w:rsid w:val="00A04992"/>
    <w:rsid w:val="00A078DF"/>
    <w:rsid w:val="00A11330"/>
    <w:rsid w:val="00A147AA"/>
    <w:rsid w:val="00A160D8"/>
    <w:rsid w:val="00A21D71"/>
    <w:rsid w:val="00A21E4A"/>
    <w:rsid w:val="00A22B78"/>
    <w:rsid w:val="00A246F7"/>
    <w:rsid w:val="00A25AE5"/>
    <w:rsid w:val="00A26442"/>
    <w:rsid w:val="00A37002"/>
    <w:rsid w:val="00A372BA"/>
    <w:rsid w:val="00A41906"/>
    <w:rsid w:val="00A4355E"/>
    <w:rsid w:val="00A520D9"/>
    <w:rsid w:val="00A64DA0"/>
    <w:rsid w:val="00A675A5"/>
    <w:rsid w:val="00A74866"/>
    <w:rsid w:val="00A92BCD"/>
    <w:rsid w:val="00A932F7"/>
    <w:rsid w:val="00A9425F"/>
    <w:rsid w:val="00AA1B0E"/>
    <w:rsid w:val="00AA47B6"/>
    <w:rsid w:val="00AB5260"/>
    <w:rsid w:val="00AB7A41"/>
    <w:rsid w:val="00AC06C0"/>
    <w:rsid w:val="00AC163B"/>
    <w:rsid w:val="00AC29A0"/>
    <w:rsid w:val="00AC5CA7"/>
    <w:rsid w:val="00AC6058"/>
    <w:rsid w:val="00AD0F76"/>
    <w:rsid w:val="00AD131F"/>
    <w:rsid w:val="00AE2BA5"/>
    <w:rsid w:val="00AE56B1"/>
    <w:rsid w:val="00AE6D09"/>
    <w:rsid w:val="00AF7A7C"/>
    <w:rsid w:val="00AF7F9E"/>
    <w:rsid w:val="00B02070"/>
    <w:rsid w:val="00B258FE"/>
    <w:rsid w:val="00B26A8A"/>
    <w:rsid w:val="00B332D6"/>
    <w:rsid w:val="00B34476"/>
    <w:rsid w:val="00B408B6"/>
    <w:rsid w:val="00B41630"/>
    <w:rsid w:val="00B542DA"/>
    <w:rsid w:val="00B62C88"/>
    <w:rsid w:val="00B66B7D"/>
    <w:rsid w:val="00B706B6"/>
    <w:rsid w:val="00B73862"/>
    <w:rsid w:val="00B73F43"/>
    <w:rsid w:val="00B75BBF"/>
    <w:rsid w:val="00B81CDC"/>
    <w:rsid w:val="00B87D3A"/>
    <w:rsid w:val="00B91A80"/>
    <w:rsid w:val="00B962AF"/>
    <w:rsid w:val="00BA308C"/>
    <w:rsid w:val="00BA641C"/>
    <w:rsid w:val="00BA6B66"/>
    <w:rsid w:val="00BA6E48"/>
    <w:rsid w:val="00BD1174"/>
    <w:rsid w:val="00BD6210"/>
    <w:rsid w:val="00BD6377"/>
    <w:rsid w:val="00BE0AF6"/>
    <w:rsid w:val="00BE1F03"/>
    <w:rsid w:val="00BE58A7"/>
    <w:rsid w:val="00BF2218"/>
    <w:rsid w:val="00C0426B"/>
    <w:rsid w:val="00C045DF"/>
    <w:rsid w:val="00C23762"/>
    <w:rsid w:val="00C26D43"/>
    <w:rsid w:val="00C35173"/>
    <w:rsid w:val="00C43F4A"/>
    <w:rsid w:val="00C46548"/>
    <w:rsid w:val="00C574D5"/>
    <w:rsid w:val="00C73F32"/>
    <w:rsid w:val="00C80ADD"/>
    <w:rsid w:val="00C851E4"/>
    <w:rsid w:val="00C86B1D"/>
    <w:rsid w:val="00C87462"/>
    <w:rsid w:val="00C92A08"/>
    <w:rsid w:val="00C9468C"/>
    <w:rsid w:val="00CA180C"/>
    <w:rsid w:val="00CB0479"/>
    <w:rsid w:val="00CB1143"/>
    <w:rsid w:val="00CB22B2"/>
    <w:rsid w:val="00CC3EE2"/>
    <w:rsid w:val="00CD6C0E"/>
    <w:rsid w:val="00CD7492"/>
    <w:rsid w:val="00CE3037"/>
    <w:rsid w:val="00CE3A6B"/>
    <w:rsid w:val="00CF4463"/>
    <w:rsid w:val="00D00211"/>
    <w:rsid w:val="00D006D1"/>
    <w:rsid w:val="00D025AE"/>
    <w:rsid w:val="00D03109"/>
    <w:rsid w:val="00D06309"/>
    <w:rsid w:val="00D340A1"/>
    <w:rsid w:val="00D349A5"/>
    <w:rsid w:val="00D351EA"/>
    <w:rsid w:val="00D40288"/>
    <w:rsid w:val="00D43403"/>
    <w:rsid w:val="00D50A6B"/>
    <w:rsid w:val="00D52706"/>
    <w:rsid w:val="00D5270B"/>
    <w:rsid w:val="00D62E12"/>
    <w:rsid w:val="00D62E71"/>
    <w:rsid w:val="00D6430D"/>
    <w:rsid w:val="00D66188"/>
    <w:rsid w:val="00D731F6"/>
    <w:rsid w:val="00D740CA"/>
    <w:rsid w:val="00D7617E"/>
    <w:rsid w:val="00D816F8"/>
    <w:rsid w:val="00D85728"/>
    <w:rsid w:val="00D95481"/>
    <w:rsid w:val="00D96E40"/>
    <w:rsid w:val="00DA28FA"/>
    <w:rsid w:val="00DA5812"/>
    <w:rsid w:val="00DC58A0"/>
    <w:rsid w:val="00DC7A13"/>
    <w:rsid w:val="00DD0865"/>
    <w:rsid w:val="00DE3C55"/>
    <w:rsid w:val="00DE7064"/>
    <w:rsid w:val="00DF2997"/>
    <w:rsid w:val="00E10BC4"/>
    <w:rsid w:val="00E140D3"/>
    <w:rsid w:val="00E1415D"/>
    <w:rsid w:val="00E169C5"/>
    <w:rsid w:val="00E213BD"/>
    <w:rsid w:val="00E233D3"/>
    <w:rsid w:val="00E323E9"/>
    <w:rsid w:val="00E32C46"/>
    <w:rsid w:val="00E32FB6"/>
    <w:rsid w:val="00E34018"/>
    <w:rsid w:val="00E436D4"/>
    <w:rsid w:val="00E437D2"/>
    <w:rsid w:val="00E43BF9"/>
    <w:rsid w:val="00E47BC6"/>
    <w:rsid w:val="00E51930"/>
    <w:rsid w:val="00E54B70"/>
    <w:rsid w:val="00E55751"/>
    <w:rsid w:val="00E55B45"/>
    <w:rsid w:val="00E5652C"/>
    <w:rsid w:val="00E7398E"/>
    <w:rsid w:val="00E80097"/>
    <w:rsid w:val="00E82B94"/>
    <w:rsid w:val="00E87217"/>
    <w:rsid w:val="00EA2311"/>
    <w:rsid w:val="00EB533C"/>
    <w:rsid w:val="00EC7BC3"/>
    <w:rsid w:val="00ED01C8"/>
    <w:rsid w:val="00ED7600"/>
    <w:rsid w:val="00EF6073"/>
    <w:rsid w:val="00EF698B"/>
    <w:rsid w:val="00F1362C"/>
    <w:rsid w:val="00F22339"/>
    <w:rsid w:val="00F22579"/>
    <w:rsid w:val="00F236E0"/>
    <w:rsid w:val="00F414F1"/>
    <w:rsid w:val="00F508B8"/>
    <w:rsid w:val="00F538D5"/>
    <w:rsid w:val="00F72CB1"/>
    <w:rsid w:val="00F7506B"/>
    <w:rsid w:val="00F811A7"/>
    <w:rsid w:val="00F8215E"/>
    <w:rsid w:val="00F824F5"/>
    <w:rsid w:val="00F82CC5"/>
    <w:rsid w:val="00F90FAB"/>
    <w:rsid w:val="00F9374D"/>
    <w:rsid w:val="00FA3DBF"/>
    <w:rsid w:val="00FB6924"/>
    <w:rsid w:val="00FC29B9"/>
    <w:rsid w:val="00FC6FD3"/>
    <w:rsid w:val="00FD4093"/>
    <w:rsid w:val="00FE305C"/>
    <w:rsid w:val="00FF0301"/>
    <w:rsid w:val="00FF2D73"/>
    <w:rsid w:val="00FF7E15"/>
    <w:rsid w:val="0D2BBC84"/>
    <w:rsid w:val="14D814DF"/>
    <w:rsid w:val="23BC654E"/>
    <w:rsid w:val="320438E5"/>
    <w:rsid w:val="532EF855"/>
    <w:rsid w:val="537A6538"/>
    <w:rsid w:val="5D7EB04D"/>
    <w:rsid w:val="67EAD26D"/>
    <w:rsid w:val="6FAE1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8B8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706"/>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Text" w:hAnsi="Sitka 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037101"/>
    <w:pPr>
      <w:spacing w:after="0" w:line="240" w:lineRule="auto"/>
    </w:pPr>
    <w:rPr>
      <w:rFonts w:ascii="Times New Roman" w:hAnsi="Times New Roman"/>
      <w:sz w:val="20"/>
      <w:lang w:val="en-GB"/>
    </w:rPr>
  </w:style>
  <w:style w:type="paragraph" w:styleId="List">
    <w:name w:val="List"/>
    <w:basedOn w:val="Normal"/>
    <w:qFormat/>
    <w:rsid w:val="008545E6"/>
    <w:pPr>
      <w:spacing w:after="180" w:line="276" w:lineRule="auto"/>
      <w:ind w:left="568" w:hanging="284"/>
    </w:pPr>
    <w:rPr>
      <w:rFonts w:eastAsia="SimSun" w:cs="Times New Roman"/>
      <w:szCs w:val="20"/>
    </w:rPr>
  </w:style>
  <w:style w:type="character" w:styleId="Mention">
    <w:name w:val="Mention"/>
    <w:basedOn w:val="DefaultParagraphFont"/>
    <w:uiPriority w:val="99"/>
    <w:unhideWhenUsed/>
    <w:rsid w:val="00200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777">
      <w:bodyDiv w:val="1"/>
      <w:marLeft w:val="0"/>
      <w:marRight w:val="0"/>
      <w:marTop w:val="0"/>
      <w:marBottom w:val="0"/>
      <w:divBdr>
        <w:top w:val="none" w:sz="0" w:space="0" w:color="auto"/>
        <w:left w:val="none" w:sz="0" w:space="0" w:color="auto"/>
        <w:bottom w:val="none" w:sz="0" w:space="0" w:color="auto"/>
        <w:right w:val="none" w:sz="0" w:space="0" w:color="auto"/>
      </w:divBdr>
    </w:div>
    <w:div w:id="50230885">
      <w:bodyDiv w:val="1"/>
      <w:marLeft w:val="0"/>
      <w:marRight w:val="0"/>
      <w:marTop w:val="0"/>
      <w:marBottom w:val="0"/>
      <w:divBdr>
        <w:top w:val="none" w:sz="0" w:space="0" w:color="auto"/>
        <w:left w:val="none" w:sz="0" w:space="0" w:color="auto"/>
        <w:bottom w:val="none" w:sz="0" w:space="0" w:color="auto"/>
        <w:right w:val="none" w:sz="0" w:space="0" w:color="auto"/>
      </w:divBdr>
    </w:div>
    <w:div w:id="710452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14950692">
      <w:bodyDiv w:val="1"/>
      <w:marLeft w:val="0"/>
      <w:marRight w:val="0"/>
      <w:marTop w:val="0"/>
      <w:marBottom w:val="0"/>
      <w:divBdr>
        <w:top w:val="none" w:sz="0" w:space="0" w:color="auto"/>
        <w:left w:val="none" w:sz="0" w:space="0" w:color="auto"/>
        <w:bottom w:val="none" w:sz="0" w:space="0" w:color="auto"/>
        <w:right w:val="none" w:sz="0" w:space="0" w:color="auto"/>
      </w:divBdr>
    </w:div>
    <w:div w:id="127171251">
      <w:bodyDiv w:val="1"/>
      <w:marLeft w:val="0"/>
      <w:marRight w:val="0"/>
      <w:marTop w:val="0"/>
      <w:marBottom w:val="0"/>
      <w:divBdr>
        <w:top w:val="none" w:sz="0" w:space="0" w:color="auto"/>
        <w:left w:val="none" w:sz="0" w:space="0" w:color="auto"/>
        <w:bottom w:val="none" w:sz="0" w:space="0" w:color="auto"/>
        <w:right w:val="none" w:sz="0" w:space="0" w:color="auto"/>
      </w:divBdr>
    </w:div>
    <w:div w:id="155534051">
      <w:bodyDiv w:val="1"/>
      <w:marLeft w:val="0"/>
      <w:marRight w:val="0"/>
      <w:marTop w:val="0"/>
      <w:marBottom w:val="0"/>
      <w:divBdr>
        <w:top w:val="none" w:sz="0" w:space="0" w:color="auto"/>
        <w:left w:val="none" w:sz="0" w:space="0" w:color="auto"/>
        <w:bottom w:val="none" w:sz="0" w:space="0" w:color="auto"/>
        <w:right w:val="none" w:sz="0" w:space="0" w:color="auto"/>
      </w:divBdr>
    </w:div>
    <w:div w:id="208224997">
      <w:bodyDiv w:val="1"/>
      <w:marLeft w:val="0"/>
      <w:marRight w:val="0"/>
      <w:marTop w:val="0"/>
      <w:marBottom w:val="0"/>
      <w:divBdr>
        <w:top w:val="none" w:sz="0" w:space="0" w:color="auto"/>
        <w:left w:val="none" w:sz="0" w:space="0" w:color="auto"/>
        <w:bottom w:val="none" w:sz="0" w:space="0" w:color="auto"/>
        <w:right w:val="none" w:sz="0" w:space="0" w:color="auto"/>
      </w:divBdr>
    </w:div>
    <w:div w:id="270819672">
      <w:bodyDiv w:val="1"/>
      <w:marLeft w:val="0"/>
      <w:marRight w:val="0"/>
      <w:marTop w:val="0"/>
      <w:marBottom w:val="0"/>
      <w:divBdr>
        <w:top w:val="none" w:sz="0" w:space="0" w:color="auto"/>
        <w:left w:val="none" w:sz="0" w:space="0" w:color="auto"/>
        <w:bottom w:val="none" w:sz="0" w:space="0" w:color="auto"/>
        <w:right w:val="none" w:sz="0" w:space="0" w:color="auto"/>
      </w:divBdr>
      <w:divsChild>
        <w:div w:id="3869871">
          <w:marLeft w:val="0"/>
          <w:marRight w:val="0"/>
          <w:marTop w:val="0"/>
          <w:marBottom w:val="0"/>
          <w:divBdr>
            <w:top w:val="none" w:sz="0" w:space="0" w:color="auto"/>
            <w:left w:val="none" w:sz="0" w:space="0" w:color="auto"/>
            <w:bottom w:val="none" w:sz="0" w:space="0" w:color="auto"/>
            <w:right w:val="none" w:sz="0" w:space="0" w:color="auto"/>
          </w:divBdr>
        </w:div>
        <w:div w:id="113062698">
          <w:marLeft w:val="0"/>
          <w:marRight w:val="0"/>
          <w:marTop w:val="0"/>
          <w:marBottom w:val="0"/>
          <w:divBdr>
            <w:top w:val="none" w:sz="0" w:space="0" w:color="auto"/>
            <w:left w:val="none" w:sz="0" w:space="0" w:color="auto"/>
            <w:bottom w:val="none" w:sz="0" w:space="0" w:color="auto"/>
            <w:right w:val="none" w:sz="0" w:space="0" w:color="auto"/>
          </w:divBdr>
        </w:div>
        <w:div w:id="321468970">
          <w:marLeft w:val="0"/>
          <w:marRight w:val="0"/>
          <w:marTop w:val="0"/>
          <w:marBottom w:val="0"/>
          <w:divBdr>
            <w:top w:val="none" w:sz="0" w:space="0" w:color="auto"/>
            <w:left w:val="none" w:sz="0" w:space="0" w:color="auto"/>
            <w:bottom w:val="none" w:sz="0" w:space="0" w:color="auto"/>
            <w:right w:val="none" w:sz="0" w:space="0" w:color="auto"/>
          </w:divBdr>
        </w:div>
        <w:div w:id="656227879">
          <w:marLeft w:val="0"/>
          <w:marRight w:val="0"/>
          <w:marTop w:val="0"/>
          <w:marBottom w:val="0"/>
          <w:divBdr>
            <w:top w:val="none" w:sz="0" w:space="0" w:color="auto"/>
            <w:left w:val="none" w:sz="0" w:space="0" w:color="auto"/>
            <w:bottom w:val="none" w:sz="0" w:space="0" w:color="auto"/>
            <w:right w:val="none" w:sz="0" w:space="0" w:color="auto"/>
          </w:divBdr>
        </w:div>
        <w:div w:id="696008745">
          <w:marLeft w:val="0"/>
          <w:marRight w:val="0"/>
          <w:marTop w:val="0"/>
          <w:marBottom w:val="0"/>
          <w:divBdr>
            <w:top w:val="none" w:sz="0" w:space="0" w:color="auto"/>
            <w:left w:val="none" w:sz="0" w:space="0" w:color="auto"/>
            <w:bottom w:val="none" w:sz="0" w:space="0" w:color="auto"/>
            <w:right w:val="none" w:sz="0" w:space="0" w:color="auto"/>
          </w:divBdr>
        </w:div>
        <w:div w:id="858278418">
          <w:marLeft w:val="0"/>
          <w:marRight w:val="0"/>
          <w:marTop w:val="0"/>
          <w:marBottom w:val="0"/>
          <w:divBdr>
            <w:top w:val="none" w:sz="0" w:space="0" w:color="auto"/>
            <w:left w:val="none" w:sz="0" w:space="0" w:color="auto"/>
            <w:bottom w:val="none" w:sz="0" w:space="0" w:color="auto"/>
            <w:right w:val="none" w:sz="0" w:space="0" w:color="auto"/>
          </w:divBdr>
        </w:div>
        <w:div w:id="933560412">
          <w:marLeft w:val="0"/>
          <w:marRight w:val="0"/>
          <w:marTop w:val="0"/>
          <w:marBottom w:val="0"/>
          <w:divBdr>
            <w:top w:val="none" w:sz="0" w:space="0" w:color="auto"/>
            <w:left w:val="none" w:sz="0" w:space="0" w:color="auto"/>
            <w:bottom w:val="none" w:sz="0" w:space="0" w:color="auto"/>
            <w:right w:val="none" w:sz="0" w:space="0" w:color="auto"/>
          </w:divBdr>
        </w:div>
        <w:div w:id="1648702692">
          <w:marLeft w:val="0"/>
          <w:marRight w:val="0"/>
          <w:marTop w:val="0"/>
          <w:marBottom w:val="0"/>
          <w:divBdr>
            <w:top w:val="none" w:sz="0" w:space="0" w:color="auto"/>
            <w:left w:val="none" w:sz="0" w:space="0" w:color="auto"/>
            <w:bottom w:val="none" w:sz="0" w:space="0" w:color="auto"/>
            <w:right w:val="none" w:sz="0" w:space="0" w:color="auto"/>
          </w:divBdr>
        </w:div>
        <w:div w:id="1907252574">
          <w:marLeft w:val="0"/>
          <w:marRight w:val="0"/>
          <w:marTop w:val="0"/>
          <w:marBottom w:val="0"/>
          <w:divBdr>
            <w:top w:val="none" w:sz="0" w:space="0" w:color="auto"/>
            <w:left w:val="none" w:sz="0" w:space="0" w:color="auto"/>
            <w:bottom w:val="none" w:sz="0" w:space="0" w:color="auto"/>
            <w:right w:val="none" w:sz="0" w:space="0" w:color="auto"/>
          </w:divBdr>
        </w:div>
        <w:div w:id="2083479520">
          <w:marLeft w:val="0"/>
          <w:marRight w:val="0"/>
          <w:marTop w:val="0"/>
          <w:marBottom w:val="0"/>
          <w:divBdr>
            <w:top w:val="none" w:sz="0" w:space="0" w:color="auto"/>
            <w:left w:val="none" w:sz="0" w:space="0" w:color="auto"/>
            <w:bottom w:val="none" w:sz="0" w:space="0" w:color="auto"/>
            <w:right w:val="none" w:sz="0" w:space="0" w:color="auto"/>
          </w:divBdr>
        </w:div>
        <w:div w:id="2109616975">
          <w:marLeft w:val="0"/>
          <w:marRight w:val="0"/>
          <w:marTop w:val="0"/>
          <w:marBottom w:val="0"/>
          <w:divBdr>
            <w:top w:val="none" w:sz="0" w:space="0" w:color="auto"/>
            <w:left w:val="none" w:sz="0" w:space="0" w:color="auto"/>
            <w:bottom w:val="none" w:sz="0" w:space="0" w:color="auto"/>
            <w:right w:val="none" w:sz="0" w:space="0" w:color="auto"/>
          </w:divBdr>
        </w:div>
      </w:divsChild>
    </w:div>
    <w:div w:id="27690902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70229922">
      <w:bodyDiv w:val="1"/>
      <w:marLeft w:val="0"/>
      <w:marRight w:val="0"/>
      <w:marTop w:val="0"/>
      <w:marBottom w:val="0"/>
      <w:divBdr>
        <w:top w:val="none" w:sz="0" w:space="0" w:color="auto"/>
        <w:left w:val="none" w:sz="0" w:space="0" w:color="auto"/>
        <w:bottom w:val="none" w:sz="0" w:space="0" w:color="auto"/>
        <w:right w:val="none" w:sz="0" w:space="0" w:color="auto"/>
      </w:divBdr>
    </w:div>
    <w:div w:id="414589921">
      <w:bodyDiv w:val="1"/>
      <w:marLeft w:val="0"/>
      <w:marRight w:val="0"/>
      <w:marTop w:val="0"/>
      <w:marBottom w:val="0"/>
      <w:divBdr>
        <w:top w:val="none" w:sz="0" w:space="0" w:color="auto"/>
        <w:left w:val="none" w:sz="0" w:space="0" w:color="auto"/>
        <w:bottom w:val="none" w:sz="0" w:space="0" w:color="auto"/>
        <w:right w:val="none" w:sz="0" w:space="0" w:color="auto"/>
      </w:divBdr>
    </w:div>
    <w:div w:id="518079116">
      <w:bodyDiv w:val="1"/>
      <w:marLeft w:val="0"/>
      <w:marRight w:val="0"/>
      <w:marTop w:val="0"/>
      <w:marBottom w:val="0"/>
      <w:divBdr>
        <w:top w:val="none" w:sz="0" w:space="0" w:color="auto"/>
        <w:left w:val="none" w:sz="0" w:space="0" w:color="auto"/>
        <w:bottom w:val="none" w:sz="0" w:space="0" w:color="auto"/>
        <w:right w:val="none" w:sz="0" w:space="0" w:color="auto"/>
      </w:divBdr>
    </w:div>
    <w:div w:id="702706274">
      <w:bodyDiv w:val="1"/>
      <w:marLeft w:val="0"/>
      <w:marRight w:val="0"/>
      <w:marTop w:val="0"/>
      <w:marBottom w:val="0"/>
      <w:divBdr>
        <w:top w:val="none" w:sz="0" w:space="0" w:color="auto"/>
        <w:left w:val="none" w:sz="0" w:space="0" w:color="auto"/>
        <w:bottom w:val="none" w:sz="0" w:space="0" w:color="auto"/>
        <w:right w:val="none" w:sz="0" w:space="0" w:color="auto"/>
      </w:divBdr>
    </w:div>
    <w:div w:id="830372623">
      <w:bodyDiv w:val="1"/>
      <w:marLeft w:val="0"/>
      <w:marRight w:val="0"/>
      <w:marTop w:val="0"/>
      <w:marBottom w:val="0"/>
      <w:divBdr>
        <w:top w:val="none" w:sz="0" w:space="0" w:color="auto"/>
        <w:left w:val="none" w:sz="0" w:space="0" w:color="auto"/>
        <w:bottom w:val="none" w:sz="0" w:space="0" w:color="auto"/>
        <w:right w:val="none" w:sz="0" w:space="0" w:color="auto"/>
      </w:divBdr>
    </w:div>
    <w:div w:id="891382920">
      <w:bodyDiv w:val="1"/>
      <w:marLeft w:val="0"/>
      <w:marRight w:val="0"/>
      <w:marTop w:val="0"/>
      <w:marBottom w:val="0"/>
      <w:divBdr>
        <w:top w:val="none" w:sz="0" w:space="0" w:color="auto"/>
        <w:left w:val="none" w:sz="0" w:space="0" w:color="auto"/>
        <w:bottom w:val="none" w:sz="0" w:space="0" w:color="auto"/>
        <w:right w:val="none" w:sz="0" w:space="0" w:color="auto"/>
      </w:divBdr>
    </w:div>
    <w:div w:id="953944262">
      <w:bodyDiv w:val="1"/>
      <w:marLeft w:val="0"/>
      <w:marRight w:val="0"/>
      <w:marTop w:val="0"/>
      <w:marBottom w:val="0"/>
      <w:divBdr>
        <w:top w:val="none" w:sz="0" w:space="0" w:color="auto"/>
        <w:left w:val="none" w:sz="0" w:space="0" w:color="auto"/>
        <w:bottom w:val="none" w:sz="0" w:space="0" w:color="auto"/>
        <w:right w:val="none" w:sz="0" w:space="0" w:color="auto"/>
      </w:divBdr>
    </w:div>
    <w:div w:id="1010716668">
      <w:bodyDiv w:val="1"/>
      <w:marLeft w:val="0"/>
      <w:marRight w:val="0"/>
      <w:marTop w:val="0"/>
      <w:marBottom w:val="0"/>
      <w:divBdr>
        <w:top w:val="none" w:sz="0" w:space="0" w:color="auto"/>
        <w:left w:val="none" w:sz="0" w:space="0" w:color="auto"/>
        <w:bottom w:val="none" w:sz="0" w:space="0" w:color="auto"/>
        <w:right w:val="none" w:sz="0" w:space="0" w:color="auto"/>
      </w:divBdr>
    </w:div>
    <w:div w:id="1138690892">
      <w:bodyDiv w:val="1"/>
      <w:marLeft w:val="0"/>
      <w:marRight w:val="0"/>
      <w:marTop w:val="0"/>
      <w:marBottom w:val="0"/>
      <w:divBdr>
        <w:top w:val="none" w:sz="0" w:space="0" w:color="auto"/>
        <w:left w:val="none" w:sz="0" w:space="0" w:color="auto"/>
        <w:bottom w:val="none" w:sz="0" w:space="0" w:color="auto"/>
        <w:right w:val="none" w:sz="0" w:space="0" w:color="auto"/>
      </w:divBdr>
    </w:div>
    <w:div w:id="1189031460">
      <w:bodyDiv w:val="1"/>
      <w:marLeft w:val="0"/>
      <w:marRight w:val="0"/>
      <w:marTop w:val="0"/>
      <w:marBottom w:val="0"/>
      <w:divBdr>
        <w:top w:val="none" w:sz="0" w:space="0" w:color="auto"/>
        <w:left w:val="none" w:sz="0" w:space="0" w:color="auto"/>
        <w:bottom w:val="none" w:sz="0" w:space="0" w:color="auto"/>
        <w:right w:val="none" w:sz="0" w:space="0" w:color="auto"/>
      </w:divBdr>
    </w:div>
    <w:div w:id="1224028445">
      <w:bodyDiv w:val="1"/>
      <w:marLeft w:val="0"/>
      <w:marRight w:val="0"/>
      <w:marTop w:val="0"/>
      <w:marBottom w:val="0"/>
      <w:divBdr>
        <w:top w:val="none" w:sz="0" w:space="0" w:color="auto"/>
        <w:left w:val="none" w:sz="0" w:space="0" w:color="auto"/>
        <w:bottom w:val="none" w:sz="0" w:space="0" w:color="auto"/>
        <w:right w:val="none" w:sz="0" w:space="0" w:color="auto"/>
      </w:divBdr>
      <w:divsChild>
        <w:div w:id="149489649">
          <w:marLeft w:val="0"/>
          <w:marRight w:val="0"/>
          <w:marTop w:val="0"/>
          <w:marBottom w:val="0"/>
          <w:divBdr>
            <w:top w:val="none" w:sz="0" w:space="0" w:color="auto"/>
            <w:left w:val="none" w:sz="0" w:space="0" w:color="auto"/>
            <w:bottom w:val="none" w:sz="0" w:space="0" w:color="auto"/>
            <w:right w:val="none" w:sz="0" w:space="0" w:color="auto"/>
          </w:divBdr>
        </w:div>
        <w:div w:id="481389908">
          <w:marLeft w:val="0"/>
          <w:marRight w:val="0"/>
          <w:marTop w:val="0"/>
          <w:marBottom w:val="0"/>
          <w:divBdr>
            <w:top w:val="none" w:sz="0" w:space="0" w:color="auto"/>
            <w:left w:val="none" w:sz="0" w:space="0" w:color="auto"/>
            <w:bottom w:val="none" w:sz="0" w:space="0" w:color="auto"/>
            <w:right w:val="none" w:sz="0" w:space="0" w:color="auto"/>
          </w:divBdr>
        </w:div>
        <w:div w:id="916481265">
          <w:marLeft w:val="0"/>
          <w:marRight w:val="0"/>
          <w:marTop w:val="0"/>
          <w:marBottom w:val="0"/>
          <w:divBdr>
            <w:top w:val="none" w:sz="0" w:space="0" w:color="auto"/>
            <w:left w:val="none" w:sz="0" w:space="0" w:color="auto"/>
            <w:bottom w:val="none" w:sz="0" w:space="0" w:color="auto"/>
            <w:right w:val="none" w:sz="0" w:space="0" w:color="auto"/>
          </w:divBdr>
        </w:div>
        <w:div w:id="1045637665">
          <w:marLeft w:val="0"/>
          <w:marRight w:val="0"/>
          <w:marTop w:val="0"/>
          <w:marBottom w:val="0"/>
          <w:divBdr>
            <w:top w:val="none" w:sz="0" w:space="0" w:color="auto"/>
            <w:left w:val="none" w:sz="0" w:space="0" w:color="auto"/>
            <w:bottom w:val="none" w:sz="0" w:space="0" w:color="auto"/>
            <w:right w:val="none" w:sz="0" w:space="0" w:color="auto"/>
          </w:divBdr>
        </w:div>
        <w:div w:id="1121268397">
          <w:marLeft w:val="0"/>
          <w:marRight w:val="0"/>
          <w:marTop w:val="0"/>
          <w:marBottom w:val="0"/>
          <w:divBdr>
            <w:top w:val="none" w:sz="0" w:space="0" w:color="auto"/>
            <w:left w:val="none" w:sz="0" w:space="0" w:color="auto"/>
            <w:bottom w:val="none" w:sz="0" w:space="0" w:color="auto"/>
            <w:right w:val="none" w:sz="0" w:space="0" w:color="auto"/>
          </w:divBdr>
        </w:div>
        <w:div w:id="1192186752">
          <w:marLeft w:val="0"/>
          <w:marRight w:val="0"/>
          <w:marTop w:val="0"/>
          <w:marBottom w:val="0"/>
          <w:divBdr>
            <w:top w:val="none" w:sz="0" w:space="0" w:color="auto"/>
            <w:left w:val="none" w:sz="0" w:space="0" w:color="auto"/>
            <w:bottom w:val="none" w:sz="0" w:space="0" w:color="auto"/>
            <w:right w:val="none" w:sz="0" w:space="0" w:color="auto"/>
          </w:divBdr>
        </w:div>
        <w:div w:id="1282808783">
          <w:marLeft w:val="0"/>
          <w:marRight w:val="0"/>
          <w:marTop w:val="0"/>
          <w:marBottom w:val="0"/>
          <w:divBdr>
            <w:top w:val="none" w:sz="0" w:space="0" w:color="auto"/>
            <w:left w:val="none" w:sz="0" w:space="0" w:color="auto"/>
            <w:bottom w:val="none" w:sz="0" w:space="0" w:color="auto"/>
            <w:right w:val="none" w:sz="0" w:space="0" w:color="auto"/>
          </w:divBdr>
        </w:div>
        <w:div w:id="1484346274">
          <w:marLeft w:val="0"/>
          <w:marRight w:val="0"/>
          <w:marTop w:val="0"/>
          <w:marBottom w:val="0"/>
          <w:divBdr>
            <w:top w:val="none" w:sz="0" w:space="0" w:color="auto"/>
            <w:left w:val="none" w:sz="0" w:space="0" w:color="auto"/>
            <w:bottom w:val="none" w:sz="0" w:space="0" w:color="auto"/>
            <w:right w:val="none" w:sz="0" w:space="0" w:color="auto"/>
          </w:divBdr>
        </w:div>
        <w:div w:id="1918437169">
          <w:marLeft w:val="0"/>
          <w:marRight w:val="0"/>
          <w:marTop w:val="0"/>
          <w:marBottom w:val="0"/>
          <w:divBdr>
            <w:top w:val="none" w:sz="0" w:space="0" w:color="auto"/>
            <w:left w:val="none" w:sz="0" w:space="0" w:color="auto"/>
            <w:bottom w:val="none" w:sz="0" w:space="0" w:color="auto"/>
            <w:right w:val="none" w:sz="0" w:space="0" w:color="auto"/>
          </w:divBdr>
        </w:div>
        <w:div w:id="1991665176">
          <w:marLeft w:val="0"/>
          <w:marRight w:val="0"/>
          <w:marTop w:val="0"/>
          <w:marBottom w:val="0"/>
          <w:divBdr>
            <w:top w:val="none" w:sz="0" w:space="0" w:color="auto"/>
            <w:left w:val="none" w:sz="0" w:space="0" w:color="auto"/>
            <w:bottom w:val="none" w:sz="0" w:space="0" w:color="auto"/>
            <w:right w:val="none" w:sz="0" w:space="0" w:color="auto"/>
          </w:divBdr>
        </w:div>
        <w:div w:id="2145197797">
          <w:marLeft w:val="0"/>
          <w:marRight w:val="0"/>
          <w:marTop w:val="0"/>
          <w:marBottom w:val="0"/>
          <w:divBdr>
            <w:top w:val="none" w:sz="0" w:space="0" w:color="auto"/>
            <w:left w:val="none" w:sz="0" w:space="0" w:color="auto"/>
            <w:bottom w:val="none" w:sz="0" w:space="0" w:color="auto"/>
            <w:right w:val="none" w:sz="0" w:space="0" w:color="auto"/>
          </w:divBdr>
        </w:div>
      </w:divsChild>
    </w:div>
    <w:div w:id="1352343681">
      <w:bodyDiv w:val="1"/>
      <w:marLeft w:val="0"/>
      <w:marRight w:val="0"/>
      <w:marTop w:val="0"/>
      <w:marBottom w:val="0"/>
      <w:divBdr>
        <w:top w:val="none" w:sz="0" w:space="0" w:color="auto"/>
        <w:left w:val="none" w:sz="0" w:space="0" w:color="auto"/>
        <w:bottom w:val="none" w:sz="0" w:space="0" w:color="auto"/>
        <w:right w:val="none" w:sz="0" w:space="0" w:color="auto"/>
      </w:divBdr>
    </w:div>
    <w:div w:id="1468936816">
      <w:bodyDiv w:val="1"/>
      <w:marLeft w:val="0"/>
      <w:marRight w:val="0"/>
      <w:marTop w:val="0"/>
      <w:marBottom w:val="0"/>
      <w:divBdr>
        <w:top w:val="none" w:sz="0" w:space="0" w:color="auto"/>
        <w:left w:val="none" w:sz="0" w:space="0" w:color="auto"/>
        <w:bottom w:val="none" w:sz="0" w:space="0" w:color="auto"/>
        <w:right w:val="none" w:sz="0" w:space="0" w:color="auto"/>
      </w:divBdr>
    </w:div>
    <w:div w:id="1737557070">
      <w:bodyDiv w:val="1"/>
      <w:marLeft w:val="0"/>
      <w:marRight w:val="0"/>
      <w:marTop w:val="0"/>
      <w:marBottom w:val="0"/>
      <w:divBdr>
        <w:top w:val="none" w:sz="0" w:space="0" w:color="auto"/>
        <w:left w:val="none" w:sz="0" w:space="0" w:color="auto"/>
        <w:bottom w:val="none" w:sz="0" w:space="0" w:color="auto"/>
        <w:right w:val="none" w:sz="0" w:space="0" w:color="auto"/>
      </w:divBdr>
    </w:div>
    <w:div w:id="1759403696">
      <w:bodyDiv w:val="1"/>
      <w:marLeft w:val="0"/>
      <w:marRight w:val="0"/>
      <w:marTop w:val="0"/>
      <w:marBottom w:val="0"/>
      <w:divBdr>
        <w:top w:val="none" w:sz="0" w:space="0" w:color="auto"/>
        <w:left w:val="none" w:sz="0" w:space="0" w:color="auto"/>
        <w:bottom w:val="none" w:sz="0" w:space="0" w:color="auto"/>
        <w:right w:val="none" w:sz="0" w:space="0" w:color="auto"/>
      </w:divBdr>
    </w:div>
    <w:div w:id="1759718610">
      <w:bodyDiv w:val="1"/>
      <w:marLeft w:val="0"/>
      <w:marRight w:val="0"/>
      <w:marTop w:val="0"/>
      <w:marBottom w:val="0"/>
      <w:divBdr>
        <w:top w:val="none" w:sz="0" w:space="0" w:color="auto"/>
        <w:left w:val="none" w:sz="0" w:space="0" w:color="auto"/>
        <w:bottom w:val="none" w:sz="0" w:space="0" w:color="auto"/>
        <w:right w:val="none" w:sz="0" w:space="0" w:color="auto"/>
      </w:divBdr>
    </w:div>
    <w:div w:id="1813059084">
      <w:bodyDiv w:val="1"/>
      <w:marLeft w:val="0"/>
      <w:marRight w:val="0"/>
      <w:marTop w:val="0"/>
      <w:marBottom w:val="0"/>
      <w:divBdr>
        <w:top w:val="none" w:sz="0" w:space="0" w:color="auto"/>
        <w:left w:val="none" w:sz="0" w:space="0" w:color="auto"/>
        <w:bottom w:val="none" w:sz="0" w:space="0" w:color="auto"/>
        <w:right w:val="none" w:sz="0" w:space="0" w:color="auto"/>
      </w:divBdr>
    </w:div>
    <w:div w:id="1875582412">
      <w:bodyDiv w:val="1"/>
      <w:marLeft w:val="0"/>
      <w:marRight w:val="0"/>
      <w:marTop w:val="0"/>
      <w:marBottom w:val="0"/>
      <w:divBdr>
        <w:top w:val="none" w:sz="0" w:space="0" w:color="auto"/>
        <w:left w:val="none" w:sz="0" w:space="0" w:color="auto"/>
        <w:bottom w:val="none" w:sz="0" w:space="0" w:color="auto"/>
        <w:right w:val="none" w:sz="0" w:space="0" w:color="auto"/>
      </w:divBdr>
    </w:div>
    <w:div w:id="189963227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71344275">
      <w:bodyDiv w:val="1"/>
      <w:marLeft w:val="0"/>
      <w:marRight w:val="0"/>
      <w:marTop w:val="0"/>
      <w:marBottom w:val="0"/>
      <w:divBdr>
        <w:top w:val="none" w:sz="0" w:space="0" w:color="auto"/>
        <w:left w:val="none" w:sz="0" w:space="0" w:color="auto"/>
        <w:bottom w:val="none" w:sz="0" w:space="0" w:color="auto"/>
        <w:right w:val="none" w:sz="0" w:space="0" w:color="auto"/>
      </w:divBdr>
    </w:div>
    <w:div w:id="2085299367">
      <w:bodyDiv w:val="1"/>
      <w:marLeft w:val="0"/>
      <w:marRight w:val="0"/>
      <w:marTop w:val="0"/>
      <w:marBottom w:val="0"/>
      <w:divBdr>
        <w:top w:val="none" w:sz="0" w:space="0" w:color="auto"/>
        <w:left w:val="none" w:sz="0" w:space="0" w:color="auto"/>
        <w:bottom w:val="none" w:sz="0" w:space="0" w:color="auto"/>
        <w:right w:val="none" w:sz="0" w:space="0" w:color="auto"/>
      </w:divBdr>
    </w:div>
    <w:div w:id="213309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1401</Words>
  <Characters>7988</Characters>
  <Application>Microsoft Office Word</Application>
  <DocSecurity>0</DocSecurity>
  <Lines>66</Lines>
  <Paragraphs>18</Paragraphs>
  <ScaleCrop>false</ScaleCrop>
  <Company/>
  <LinksUpToDate>false</LinksUpToDate>
  <CharactersWithSpaces>9371</CharactersWithSpaces>
  <SharedDoc>false</SharedDoc>
  <HLinks>
    <vt:vector size="30" baseType="variant">
      <vt:variant>
        <vt:i4>1376311</vt:i4>
      </vt:variant>
      <vt:variant>
        <vt:i4>17</vt:i4>
      </vt:variant>
      <vt:variant>
        <vt:i4>0</vt:i4>
      </vt:variant>
      <vt:variant>
        <vt:i4>5</vt:i4>
      </vt:variant>
      <vt:variant>
        <vt:lpwstr/>
      </vt:variant>
      <vt:variant>
        <vt:lpwstr>_Toc206170435</vt:lpwstr>
      </vt:variant>
      <vt:variant>
        <vt:i4>1376311</vt:i4>
      </vt:variant>
      <vt:variant>
        <vt:i4>14</vt:i4>
      </vt:variant>
      <vt:variant>
        <vt:i4>0</vt:i4>
      </vt:variant>
      <vt:variant>
        <vt:i4>5</vt:i4>
      </vt:variant>
      <vt:variant>
        <vt:lpwstr/>
      </vt:variant>
      <vt:variant>
        <vt:lpwstr>_Toc206170434</vt:lpwstr>
      </vt:variant>
      <vt:variant>
        <vt:i4>1376311</vt:i4>
      </vt:variant>
      <vt:variant>
        <vt:i4>11</vt:i4>
      </vt:variant>
      <vt:variant>
        <vt:i4>0</vt:i4>
      </vt:variant>
      <vt:variant>
        <vt:i4>5</vt:i4>
      </vt:variant>
      <vt:variant>
        <vt:lpwstr/>
      </vt:variant>
      <vt:variant>
        <vt:lpwstr>_Toc206170433</vt:lpwstr>
      </vt:variant>
      <vt:variant>
        <vt:i4>1376311</vt:i4>
      </vt:variant>
      <vt:variant>
        <vt:i4>8</vt:i4>
      </vt:variant>
      <vt:variant>
        <vt:i4>0</vt:i4>
      </vt:variant>
      <vt:variant>
        <vt:i4>5</vt:i4>
      </vt:variant>
      <vt:variant>
        <vt:lpwstr/>
      </vt:variant>
      <vt:variant>
        <vt:lpwstr>_Toc206170432</vt:lpwstr>
      </vt:variant>
      <vt:variant>
        <vt:i4>1376311</vt:i4>
      </vt:variant>
      <vt:variant>
        <vt:i4>5</vt:i4>
      </vt:variant>
      <vt:variant>
        <vt:i4>0</vt:i4>
      </vt:variant>
      <vt:variant>
        <vt:i4>5</vt:i4>
      </vt:variant>
      <vt:variant>
        <vt:lpwstr/>
      </vt:variant>
      <vt:variant>
        <vt:lpwstr>_Toc206170431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2025-10-03T17:35:00Z</dcterms:created>
  <dcterms:modified xsi:type="dcterms:W3CDTF">2025-10-03T17:35:00Z</dcterms:modified>
</cp:coreProperties>
</file>